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rFonts w:ascii="Aptos Display" w:hAnsi="Aptos Display"/>
          <w:b/>
          <w:color w:val="16463A"/>
          <w:sz w:val="54"/>
        </w:rPr>
        <w:t>CIRCULAR BIO-RESOURCE</w:t>
        <w:br/>
        <w:t>&amp; SUSTAINABLE FEED COMPLEX</w:t>
      </w:r>
    </w:p>
    <w:p>
      <w:pPr>
        <w:pStyle w:val="Normal"/>
        <w:jc w:val="center"/>
        <w:rPr/>
      </w:pPr>
      <w:r>
        <w:rPr>
          <w:b/>
          <w:color w:val="646464"/>
          <w:sz w:val="22"/>
        </w:rPr>
        <w:t>EXECUTIVE SUMMARY | INVESTOR EDITION</w:t>
      </w:r>
    </w:p>
    <w:p>
      <w:pPr>
        <w:pStyle w:val="Normal"/>
        <w:jc w:val="center"/>
        <w:rPr/>
      </w:pPr>
      <w:r>
        <w:rPr>
          <w:sz w:val="26"/>
        </w:rPr>
        <w:t>10-hectare integrated food-resource recovery platform | Vietnam</w:t>
      </w:r>
    </w:p>
    <w:p>
      <w:pPr>
        <w:pStyle w:val="Normal"/>
        <w:rPr/>
      </w:pPr>
      <w:r>
        <w:rPr/>
      </w:r>
    </w:p>
    <w:tbl>
      <w:tblPr>
        <w:tblW w:w="10164"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2541"/>
        <w:gridCol w:w="2541"/>
        <w:gridCol w:w="2541"/>
        <w:gridCol w:w="2541"/>
      </w:tblGrid>
      <w:tr>
        <w:trPr/>
        <w:tc>
          <w:tcPr>
            <w:tcW w:w="2541" w:type="dxa"/>
            <w:tcBorders/>
            <w:shd w:fill="EAF2ED" w:val="clear"/>
          </w:tcPr>
          <w:p>
            <w:pPr>
              <w:pStyle w:val="Normal"/>
              <w:spacing w:before="0" w:after="200"/>
              <w:jc w:val="center"/>
              <w:rPr/>
            </w:pPr>
            <w:r>
              <w:rPr>
                <w:b/>
                <w:color w:val="16463A"/>
                <w:sz w:val="30"/>
              </w:rPr>
              <w:t>10 ha</w:t>
            </w:r>
            <w:r>
              <w:rPr>
                <w:color w:val="5A5A5A"/>
                <w:sz w:val="16"/>
              </w:rPr>
              <w:br/>
              <w:t>Site</w:t>
            </w:r>
          </w:p>
        </w:tc>
        <w:tc>
          <w:tcPr>
            <w:tcW w:w="2541" w:type="dxa"/>
            <w:tcBorders/>
            <w:shd w:fill="EAF2ED" w:val="clear"/>
          </w:tcPr>
          <w:p>
            <w:pPr>
              <w:pStyle w:val="Normal"/>
              <w:spacing w:before="0" w:after="200"/>
              <w:jc w:val="center"/>
              <w:rPr/>
            </w:pPr>
            <w:r>
              <w:rPr>
                <w:b/>
                <w:color w:val="16463A"/>
                <w:sz w:val="30"/>
              </w:rPr>
              <w:t>300,000 tpa</w:t>
            </w:r>
            <w:r>
              <w:rPr>
                <w:color w:val="5A5A5A"/>
                <w:sz w:val="16"/>
              </w:rPr>
              <w:br/>
              <w:t>Design input</w:t>
            </w:r>
          </w:p>
        </w:tc>
        <w:tc>
          <w:tcPr>
            <w:tcW w:w="2541" w:type="dxa"/>
            <w:tcBorders/>
            <w:shd w:fill="EAF2ED" w:val="clear"/>
          </w:tcPr>
          <w:p>
            <w:pPr>
              <w:pStyle w:val="Normal"/>
              <w:spacing w:before="0" w:after="200"/>
              <w:jc w:val="center"/>
              <w:rPr/>
            </w:pPr>
            <w:r>
              <w:rPr>
                <w:b/>
                <w:color w:val="16463A"/>
                <w:sz w:val="30"/>
              </w:rPr>
              <w:t>US$40m</w:t>
            </w:r>
            <w:r>
              <w:rPr>
                <w:color w:val="5A5A5A"/>
                <w:sz w:val="16"/>
              </w:rPr>
              <w:br/>
              <w:t>Indicative core CAPEX</w:t>
            </w:r>
          </w:p>
        </w:tc>
        <w:tc>
          <w:tcPr>
            <w:tcW w:w="2541" w:type="dxa"/>
            <w:tcBorders/>
            <w:shd w:fill="EAF2ED" w:val="clear"/>
          </w:tcPr>
          <w:p>
            <w:pPr>
              <w:pStyle w:val="Normal"/>
              <w:spacing w:before="0" w:after="200"/>
              <w:jc w:val="center"/>
              <w:rPr/>
            </w:pPr>
            <w:r>
              <w:rPr>
                <w:b/>
                <w:color w:val="16463A"/>
                <w:sz w:val="30"/>
              </w:rPr>
              <w:t>US$72/t</w:t>
            </w:r>
            <w:r>
              <w:rPr>
                <w:color w:val="5A5A5A"/>
                <w:sz w:val="16"/>
              </w:rPr>
              <w:br/>
              <w:t>Base contribution</w:t>
            </w:r>
          </w:p>
        </w:tc>
      </w:tr>
      <w:tr>
        <w:trPr/>
        <w:tc>
          <w:tcPr>
            <w:tcW w:w="2541" w:type="dxa"/>
            <w:tcBorders/>
            <w:shd w:fill="EAF2ED" w:val="clear"/>
          </w:tcPr>
          <w:p>
            <w:pPr>
              <w:pStyle w:val="Normal"/>
              <w:spacing w:before="0" w:after="200"/>
              <w:jc w:val="center"/>
              <w:rPr/>
            </w:pPr>
            <w:r>
              <w:rPr>
                <w:b/>
                <w:color w:val="16463A"/>
                <w:sz w:val="30"/>
              </w:rPr>
              <w:t>240,000 tpa</w:t>
            </w:r>
            <w:r>
              <w:rPr>
                <w:color w:val="5A5A5A"/>
                <w:sz w:val="16"/>
              </w:rPr>
              <w:br/>
              <w:t>Stabilized input</w:t>
            </w:r>
          </w:p>
        </w:tc>
        <w:tc>
          <w:tcPr>
            <w:tcW w:w="2541" w:type="dxa"/>
            <w:tcBorders/>
            <w:shd w:fill="EAF2ED" w:val="clear"/>
          </w:tcPr>
          <w:p>
            <w:pPr>
              <w:pStyle w:val="Normal"/>
              <w:spacing w:before="0" w:after="200"/>
              <w:jc w:val="center"/>
              <w:rPr/>
            </w:pPr>
            <w:r>
              <w:rPr>
                <w:b/>
                <w:color w:val="16463A"/>
                <w:sz w:val="30"/>
              </w:rPr>
              <w:t>US$31.4m</w:t>
            </w:r>
            <w:r>
              <w:rPr>
                <w:color w:val="5A5A5A"/>
                <w:sz w:val="16"/>
              </w:rPr>
              <w:br/>
              <w:t>Base revenue</w:t>
            </w:r>
          </w:p>
        </w:tc>
        <w:tc>
          <w:tcPr>
            <w:tcW w:w="2541" w:type="dxa"/>
            <w:tcBorders/>
            <w:shd w:fill="EAF2ED" w:val="clear"/>
          </w:tcPr>
          <w:p>
            <w:pPr>
              <w:pStyle w:val="Normal"/>
              <w:spacing w:before="0" w:after="200"/>
              <w:jc w:val="center"/>
              <w:rPr/>
            </w:pPr>
            <w:r>
              <w:rPr>
                <w:b/>
                <w:color w:val="16463A"/>
                <w:sz w:val="30"/>
              </w:rPr>
              <w:t>US$12–13m</w:t>
            </w:r>
            <w:r>
              <w:rPr>
                <w:color w:val="5A5A5A"/>
                <w:sz w:val="16"/>
              </w:rPr>
              <w:br/>
              <w:t>Target EBITDA</w:t>
            </w:r>
          </w:p>
        </w:tc>
        <w:tc>
          <w:tcPr>
            <w:tcW w:w="2541" w:type="dxa"/>
            <w:tcBorders/>
            <w:shd w:fill="EAF2ED" w:val="clear"/>
          </w:tcPr>
          <w:p>
            <w:pPr>
              <w:pStyle w:val="Normal"/>
              <w:spacing w:before="0" w:after="200"/>
              <w:jc w:val="center"/>
              <w:rPr/>
            </w:pPr>
            <w:r>
              <w:rPr>
                <w:b/>
                <w:color w:val="16463A"/>
                <w:sz w:val="30"/>
              </w:rPr>
              <w:t>18–22%</w:t>
            </w:r>
            <w:r>
              <w:rPr>
                <w:color w:val="5A5A5A"/>
                <w:sz w:val="16"/>
              </w:rPr>
              <w:br/>
              <w:t>Target unlevered IRR</w:t>
            </w:r>
          </w:p>
        </w:tc>
      </w:tr>
    </w:tbl>
    <w:p>
      <w:pPr>
        <w:pStyle w:val="Normal"/>
        <w:rPr/>
      </w:pPr>
      <w:r>
        <w:rPr/>
      </w:r>
    </w:p>
    <w:p>
      <w:pPr>
        <w:pStyle w:val="Normal"/>
        <w:jc w:val="center"/>
        <w:rPr>
          <w:b/>
          <w:sz w:val="26"/>
        </w:rPr>
      </w:pPr>
      <w:r>
        <w:rPr>
          <w:b/>
          <w:sz w:val="26"/>
        </w:rPr>
        <w:t>FROM FOOD SURPLUS &amp; BY-PRODUCTS TO FEED, FERTILIZER</w:t>
      </w:r>
    </w:p>
    <w:p>
      <w:pPr>
        <w:pStyle w:val="Normal"/>
        <w:jc w:val="center"/>
        <w:rPr>
          <w:b/>
          <w:sz w:val="26"/>
        </w:rPr>
      </w:pPr>
      <w:r>
        <w:rPr>
          <w:b/>
          <w:sz w:val="26"/>
        </w:rPr>
        <w:t>&amp; CIRCULAR VALUE</w:t>
      </w:r>
    </w:p>
    <w:p>
      <w:pPr>
        <w:pStyle w:val="Normal"/>
        <w:rPr/>
      </w:pPr>
      <w:r>
        <w:rPr/>
      </w:r>
      <w:r>
        <w:br w:type="page"/>
      </w:r>
    </w:p>
    <w:p>
      <w:pPr>
        <w:pStyle w:val="Heading1"/>
        <w:spacing w:before="0" w:after="0"/>
        <w:rPr/>
      </w:pPr>
      <w:r>
        <w:rPr/>
        <w:t>1. Investment proposition</w:t>
      </w:r>
    </w:p>
    <w:p>
      <w:pPr>
        <w:pStyle w:val="Normal"/>
        <w:rPr>
          <w:sz w:val="22"/>
          <w:szCs w:val="22"/>
        </w:rPr>
      </w:pPr>
      <w:r>
        <w:rPr>
          <w:b/>
          <w:sz w:val="22"/>
          <w:szCs w:val="22"/>
        </w:rPr>
        <w:t xml:space="preserve">The project is not a conventional feed mill. </w:t>
      </w:r>
      <w:r>
        <w:rPr>
          <w:sz w:val="22"/>
          <w:szCs w:val="22"/>
        </w:rPr>
        <w:t>It is an industrial resource-recovery platform designed to source qualified food surplus, off-specification products and food-manufacturing by-products from retail chains, wholesale/distribution networks and food factories, then convert those streams into standardized feed ingredients, selected formulated feeds, organic fertilizer and soil-improvement products.</w:t>
      </w:r>
    </w:p>
    <w:p>
      <w:pPr>
        <w:pStyle w:val="Normal"/>
        <w:rPr>
          <w:sz w:val="22"/>
          <w:szCs w:val="22"/>
        </w:rPr>
      </w:pPr>
      <w:r>
        <w:rPr>
          <w:b/>
          <w:sz w:val="22"/>
          <w:szCs w:val="22"/>
        </w:rPr>
        <w:t xml:space="preserve">Core economic thesis: </w:t>
      </w:r>
      <w:r>
        <w:rPr>
          <w:sz w:val="22"/>
          <w:szCs w:val="22"/>
        </w:rPr>
        <w:t>acquire nutritionally valuable resources at very low effective cost; recover and standardize their nutritional value; monetize multiple outputs; and build recurring supply relationships with large food-resource generators. The base financial case does not assume a tipping/service fee. Any supplier-paid recovery fee is treated as upside.</w:t>
      </w:r>
    </w:p>
    <w:p>
      <w:pPr>
        <w:pStyle w:val="Heading1"/>
        <w:rPr/>
      </w:pPr>
      <w:r>
        <w:rPr/>
        <w:t>2. Why this model can work</w:t>
      </w:r>
    </w:p>
    <w:p>
      <w:pPr>
        <w:pStyle w:val="ListBullet"/>
        <w:numPr>
          <w:ilvl w:val="0"/>
          <w:numId w:val="1"/>
        </w:numPr>
        <w:rPr>
          <w:sz w:val="20"/>
          <w:szCs w:val="20"/>
        </w:rPr>
      </w:pPr>
      <w:r>
        <w:rPr>
          <w:b/>
          <w:sz w:val="20"/>
          <w:szCs w:val="20"/>
        </w:rPr>
        <w:t xml:space="preserve">Feedstock access is the moat: </w:t>
      </w:r>
      <w:r>
        <w:rPr>
          <w:sz w:val="20"/>
          <w:szCs w:val="20"/>
        </w:rPr>
        <w:t>Multi-year sourcing contracts define volume, segregation, traceability, collection frequency and commercial terms.</w:t>
      </w:r>
    </w:p>
    <w:p>
      <w:pPr>
        <w:pStyle w:val="ListBullet"/>
        <w:numPr>
          <w:ilvl w:val="0"/>
          <w:numId w:val="1"/>
        </w:numPr>
        <w:rPr>
          <w:sz w:val="20"/>
          <w:szCs w:val="20"/>
        </w:rPr>
      </w:pPr>
      <w:r>
        <w:rPr>
          <w:b/>
          <w:sz w:val="20"/>
          <w:szCs w:val="20"/>
        </w:rPr>
        <w:t xml:space="preserve">Resource arbitrage: </w:t>
      </w:r>
      <w:r>
        <w:rPr>
          <w:sz w:val="20"/>
          <w:szCs w:val="20"/>
        </w:rPr>
        <w:t>Traditional feed mills purchase commodities near market value. This platform targets qualified food resources whose human-food commercial value has fallen but whose nutritional value can remain meaningful.</w:t>
      </w:r>
    </w:p>
    <w:p>
      <w:pPr>
        <w:pStyle w:val="ListBullet"/>
        <w:numPr>
          <w:ilvl w:val="0"/>
          <w:numId w:val="1"/>
        </w:numPr>
        <w:rPr>
          <w:sz w:val="20"/>
          <w:szCs w:val="20"/>
        </w:rPr>
      </w:pPr>
      <w:r>
        <w:rPr>
          <w:b/>
          <w:sz w:val="20"/>
          <w:szCs w:val="20"/>
        </w:rPr>
        <w:t xml:space="preserve">Dual product pathways: </w:t>
      </w:r>
      <w:r>
        <w:rPr>
          <w:sz w:val="20"/>
          <w:szCs w:val="20"/>
        </w:rPr>
        <w:t>Feed-grade streams are directed to animal nutrition; suitable non-feed organic streams are directed to fertilizer/soil products.</w:t>
      </w:r>
    </w:p>
    <w:p>
      <w:pPr>
        <w:pStyle w:val="ListBullet"/>
        <w:numPr>
          <w:ilvl w:val="0"/>
          <w:numId w:val="1"/>
        </w:numPr>
        <w:rPr>
          <w:sz w:val="20"/>
          <w:szCs w:val="20"/>
        </w:rPr>
      </w:pPr>
      <w:r>
        <w:rPr>
          <w:b/>
          <w:sz w:val="20"/>
          <w:szCs w:val="20"/>
        </w:rPr>
        <w:t xml:space="preserve">Multiple monetization points: </w:t>
      </w:r>
      <w:r>
        <w:rPr>
          <w:sz w:val="20"/>
          <w:szCs w:val="20"/>
        </w:rPr>
        <w:t>Recovered feed ingredients, formulated feed, organic fertilizer, recyclables and potentially resource-recovery service fees.</w:t>
      </w:r>
    </w:p>
    <w:p>
      <w:pPr>
        <w:pStyle w:val="ListBullet"/>
        <w:numPr>
          <w:ilvl w:val="0"/>
          <w:numId w:val="1"/>
        </w:numPr>
        <w:rPr>
          <w:sz w:val="20"/>
          <w:szCs w:val="20"/>
        </w:rPr>
      </w:pPr>
      <w:r>
        <w:rPr>
          <w:b/>
          <w:sz w:val="20"/>
          <w:szCs w:val="20"/>
        </w:rPr>
        <w:t xml:space="preserve">Industrial safety discipline: </w:t>
      </w:r>
      <w:r>
        <w:rPr>
          <w:sz w:val="20"/>
          <w:szCs w:val="20"/>
        </w:rPr>
        <w:t>Source qualification, de-packaging, contaminant removal, thermal treatment, laboratory control, traceability and HACCP-style controls are fundamental to the model.</w:t>
      </w:r>
    </w:p>
    <w:p>
      <w:pPr>
        <w:pStyle w:val="Heading1"/>
        <w:rPr/>
      </w:pPr>
      <w:r>
        <w:rPr/>
        <w:t>3. Priority feedstock portfolio</w:t>
      </w:r>
    </w:p>
    <w:tbl>
      <w:tblPr>
        <w:tblW w:w="10164"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2160"/>
        <w:gridCol w:w="2520"/>
        <w:gridCol w:w="2424"/>
        <w:gridCol w:w="3060"/>
      </w:tblGrid>
      <w:tr>
        <w:trPr/>
        <w:tc>
          <w:tcPr>
            <w:tcW w:w="2160" w:type="dxa"/>
            <w:tcBorders/>
            <w:shd w:fill="194137" w:val="clear"/>
            <w:vAlign w:val="bottom"/>
          </w:tcPr>
          <w:p>
            <w:pPr>
              <w:pStyle w:val="Normal"/>
              <w:spacing w:before="0" w:after="200"/>
              <w:rPr>
                <w:sz w:val="20"/>
                <w:szCs w:val="20"/>
              </w:rPr>
            </w:pPr>
            <w:r>
              <w:rPr>
                <w:b/>
                <w:color w:val="FFFFFF"/>
                <w:sz w:val="20"/>
                <w:szCs w:val="20"/>
              </w:rPr>
              <w:t>Class</w:t>
            </w:r>
          </w:p>
        </w:tc>
        <w:tc>
          <w:tcPr>
            <w:tcW w:w="2520" w:type="dxa"/>
            <w:tcBorders/>
            <w:shd w:fill="194137" w:val="clear"/>
            <w:vAlign w:val="bottom"/>
          </w:tcPr>
          <w:p>
            <w:pPr>
              <w:pStyle w:val="Normal"/>
              <w:spacing w:before="0" w:after="200"/>
              <w:rPr>
                <w:sz w:val="20"/>
                <w:szCs w:val="20"/>
              </w:rPr>
            </w:pPr>
            <w:r>
              <w:rPr>
                <w:b/>
                <w:color w:val="FFFFFF"/>
                <w:sz w:val="20"/>
                <w:szCs w:val="20"/>
              </w:rPr>
              <w:t>Typical sources</w:t>
            </w:r>
          </w:p>
        </w:tc>
        <w:tc>
          <w:tcPr>
            <w:tcW w:w="2424" w:type="dxa"/>
            <w:tcBorders/>
            <w:shd w:fill="194137" w:val="clear"/>
            <w:vAlign w:val="bottom"/>
          </w:tcPr>
          <w:p>
            <w:pPr>
              <w:pStyle w:val="Normal"/>
              <w:spacing w:before="0" w:after="200"/>
              <w:rPr>
                <w:sz w:val="20"/>
                <w:szCs w:val="20"/>
              </w:rPr>
            </w:pPr>
            <w:r>
              <w:rPr>
                <w:b/>
                <w:color w:val="FFFFFF"/>
                <w:sz w:val="20"/>
                <w:szCs w:val="20"/>
              </w:rPr>
              <w:t>Preferred route</w:t>
            </w:r>
          </w:p>
        </w:tc>
        <w:tc>
          <w:tcPr>
            <w:tcW w:w="3060" w:type="dxa"/>
            <w:tcBorders/>
            <w:shd w:fill="194137" w:val="clear"/>
            <w:vAlign w:val="bottom"/>
          </w:tcPr>
          <w:p>
            <w:pPr>
              <w:pStyle w:val="Normal"/>
              <w:spacing w:before="0" w:after="200"/>
              <w:rPr>
                <w:sz w:val="20"/>
                <w:szCs w:val="20"/>
              </w:rPr>
            </w:pPr>
            <w:r>
              <w:rPr>
                <w:b/>
                <w:color w:val="FFFFFF"/>
                <w:sz w:val="20"/>
                <w:szCs w:val="20"/>
              </w:rPr>
              <w:t>Investment relevance</w:t>
            </w:r>
          </w:p>
        </w:tc>
      </w:tr>
      <w:tr>
        <w:trPr/>
        <w:tc>
          <w:tcPr>
            <w:tcW w:w="2160" w:type="dxa"/>
            <w:tcBorders/>
            <w:vAlign w:val="bottom"/>
          </w:tcPr>
          <w:p>
            <w:pPr>
              <w:pStyle w:val="Normal"/>
              <w:spacing w:before="0" w:after="200"/>
              <w:rPr>
                <w:sz w:val="20"/>
                <w:szCs w:val="20"/>
              </w:rPr>
            </w:pPr>
            <w:r>
              <w:rPr>
                <w:b w:val="false"/>
                <w:sz w:val="20"/>
                <w:szCs w:val="20"/>
              </w:rPr>
              <w:t>A – Dry/high-value</w:t>
            </w:r>
          </w:p>
        </w:tc>
        <w:tc>
          <w:tcPr>
            <w:tcW w:w="2520" w:type="dxa"/>
            <w:tcBorders/>
            <w:vAlign w:val="bottom"/>
          </w:tcPr>
          <w:p>
            <w:pPr>
              <w:pStyle w:val="Normal"/>
              <w:spacing w:before="0" w:after="200"/>
              <w:rPr>
                <w:sz w:val="20"/>
                <w:szCs w:val="20"/>
              </w:rPr>
            </w:pPr>
            <w:r>
              <w:rPr>
                <w:b w:val="false"/>
                <w:sz w:val="20"/>
                <w:szCs w:val="20"/>
              </w:rPr>
              <w:t>Bakery, biscuits, cereals, noodles, confectionery, snacks, flour-based/off-spec packaged food</w:t>
            </w:r>
          </w:p>
        </w:tc>
        <w:tc>
          <w:tcPr>
            <w:tcW w:w="2424" w:type="dxa"/>
            <w:tcBorders/>
            <w:vAlign w:val="bottom"/>
          </w:tcPr>
          <w:p>
            <w:pPr>
              <w:pStyle w:val="Normal"/>
              <w:spacing w:before="0" w:after="200"/>
              <w:rPr>
                <w:sz w:val="20"/>
                <w:szCs w:val="20"/>
              </w:rPr>
            </w:pPr>
            <w:r>
              <w:rPr>
                <w:b w:val="false"/>
                <w:sz w:val="20"/>
                <w:szCs w:val="20"/>
              </w:rPr>
              <w:t>Feed ingredient</w:t>
            </w:r>
          </w:p>
        </w:tc>
        <w:tc>
          <w:tcPr>
            <w:tcW w:w="3060" w:type="dxa"/>
            <w:tcBorders/>
            <w:vAlign w:val="bottom"/>
          </w:tcPr>
          <w:p>
            <w:pPr>
              <w:pStyle w:val="Normal"/>
              <w:spacing w:before="0" w:after="200"/>
              <w:rPr>
                <w:sz w:val="20"/>
                <w:szCs w:val="20"/>
              </w:rPr>
            </w:pPr>
            <w:r>
              <w:rPr>
                <w:b w:val="false"/>
                <w:sz w:val="20"/>
                <w:szCs w:val="20"/>
              </w:rPr>
              <w:t>Highest priority: lower moisture, high energy density, favorable drying economics</w:t>
            </w:r>
          </w:p>
        </w:tc>
      </w:tr>
      <w:tr>
        <w:trPr/>
        <w:tc>
          <w:tcPr>
            <w:tcW w:w="2160" w:type="dxa"/>
            <w:tcBorders/>
            <w:vAlign w:val="bottom"/>
          </w:tcPr>
          <w:p>
            <w:pPr>
              <w:pStyle w:val="Normal"/>
              <w:spacing w:before="0" w:after="200"/>
              <w:rPr>
                <w:sz w:val="20"/>
                <w:szCs w:val="20"/>
              </w:rPr>
            </w:pPr>
            <w:r>
              <w:rPr>
                <w:b w:val="false"/>
                <w:sz w:val="20"/>
                <w:szCs w:val="20"/>
              </w:rPr>
              <w:t>B – Semi-wet</w:t>
            </w:r>
          </w:p>
        </w:tc>
        <w:tc>
          <w:tcPr>
            <w:tcW w:w="2520" w:type="dxa"/>
            <w:tcBorders/>
            <w:vAlign w:val="bottom"/>
          </w:tcPr>
          <w:p>
            <w:pPr>
              <w:pStyle w:val="Normal"/>
              <w:spacing w:before="0" w:after="200"/>
              <w:rPr>
                <w:sz w:val="20"/>
                <w:szCs w:val="20"/>
              </w:rPr>
            </w:pPr>
            <w:r>
              <w:rPr>
                <w:b w:val="false"/>
                <w:sz w:val="20"/>
                <w:szCs w:val="20"/>
              </w:rPr>
              <w:t>Selected factory residues and processed foods</w:t>
            </w:r>
          </w:p>
        </w:tc>
        <w:tc>
          <w:tcPr>
            <w:tcW w:w="2424" w:type="dxa"/>
            <w:tcBorders/>
            <w:vAlign w:val="bottom"/>
          </w:tcPr>
          <w:p>
            <w:pPr>
              <w:pStyle w:val="Normal"/>
              <w:spacing w:before="0" w:after="200"/>
              <w:rPr>
                <w:sz w:val="20"/>
                <w:szCs w:val="20"/>
              </w:rPr>
            </w:pPr>
            <w:r>
              <w:rPr>
                <w:b w:val="false"/>
                <w:sz w:val="20"/>
                <w:szCs w:val="20"/>
              </w:rPr>
              <w:t>Feed or fermentation</w:t>
            </w:r>
          </w:p>
        </w:tc>
        <w:tc>
          <w:tcPr>
            <w:tcW w:w="3060" w:type="dxa"/>
            <w:tcBorders/>
            <w:vAlign w:val="bottom"/>
          </w:tcPr>
          <w:p>
            <w:pPr>
              <w:pStyle w:val="Normal"/>
              <w:spacing w:before="0" w:after="200"/>
              <w:rPr>
                <w:sz w:val="20"/>
                <w:szCs w:val="20"/>
              </w:rPr>
            </w:pPr>
            <w:r>
              <w:rPr>
                <w:b w:val="false"/>
                <w:sz w:val="20"/>
                <w:szCs w:val="20"/>
              </w:rPr>
              <w:t>Requires moisture and energy discipline</w:t>
            </w:r>
          </w:p>
        </w:tc>
      </w:tr>
      <w:tr>
        <w:trPr/>
        <w:tc>
          <w:tcPr>
            <w:tcW w:w="2160" w:type="dxa"/>
            <w:tcBorders/>
            <w:vAlign w:val="bottom"/>
          </w:tcPr>
          <w:p>
            <w:pPr>
              <w:pStyle w:val="Normal"/>
              <w:spacing w:before="0" w:after="200"/>
              <w:rPr>
                <w:sz w:val="20"/>
                <w:szCs w:val="20"/>
              </w:rPr>
            </w:pPr>
            <w:r>
              <w:rPr>
                <w:b w:val="false"/>
                <w:sz w:val="20"/>
                <w:szCs w:val="20"/>
              </w:rPr>
              <w:t>C – High-moisture organics</w:t>
            </w:r>
          </w:p>
        </w:tc>
        <w:tc>
          <w:tcPr>
            <w:tcW w:w="2520" w:type="dxa"/>
            <w:tcBorders/>
            <w:vAlign w:val="bottom"/>
          </w:tcPr>
          <w:p>
            <w:pPr>
              <w:pStyle w:val="Normal"/>
              <w:spacing w:before="0" w:after="200"/>
              <w:rPr>
                <w:sz w:val="20"/>
                <w:szCs w:val="20"/>
              </w:rPr>
            </w:pPr>
            <w:r>
              <w:rPr>
                <w:b w:val="false"/>
                <w:sz w:val="20"/>
                <w:szCs w:val="20"/>
              </w:rPr>
              <w:t>Fruit, vegetables and suitable organics</w:t>
            </w:r>
          </w:p>
        </w:tc>
        <w:tc>
          <w:tcPr>
            <w:tcW w:w="2424" w:type="dxa"/>
            <w:tcBorders/>
            <w:vAlign w:val="bottom"/>
          </w:tcPr>
          <w:p>
            <w:pPr>
              <w:pStyle w:val="Normal"/>
              <w:spacing w:before="0" w:after="200"/>
              <w:rPr>
                <w:sz w:val="20"/>
                <w:szCs w:val="20"/>
              </w:rPr>
            </w:pPr>
            <w:r>
              <w:rPr>
                <w:b w:val="false"/>
                <w:sz w:val="20"/>
                <w:szCs w:val="20"/>
              </w:rPr>
              <w:t>Fertilizer / soil improvement</w:t>
            </w:r>
          </w:p>
        </w:tc>
        <w:tc>
          <w:tcPr>
            <w:tcW w:w="3060" w:type="dxa"/>
            <w:tcBorders/>
            <w:vAlign w:val="bottom"/>
          </w:tcPr>
          <w:p>
            <w:pPr>
              <w:pStyle w:val="Normal"/>
              <w:spacing w:before="0" w:after="200"/>
              <w:rPr>
                <w:sz w:val="20"/>
                <w:szCs w:val="20"/>
              </w:rPr>
            </w:pPr>
            <w:r>
              <w:rPr>
                <w:b w:val="false"/>
                <w:sz w:val="20"/>
                <w:szCs w:val="20"/>
              </w:rPr>
              <w:t>Avoid destroying economics by over-drying low-value water</w:t>
            </w:r>
          </w:p>
        </w:tc>
      </w:tr>
      <w:tr>
        <w:trPr/>
        <w:tc>
          <w:tcPr>
            <w:tcW w:w="2160" w:type="dxa"/>
            <w:tcBorders/>
            <w:vAlign w:val="bottom"/>
          </w:tcPr>
          <w:p>
            <w:pPr>
              <w:pStyle w:val="Normal"/>
              <w:spacing w:before="0" w:after="200"/>
              <w:rPr>
                <w:sz w:val="20"/>
                <w:szCs w:val="20"/>
              </w:rPr>
            </w:pPr>
            <w:r>
              <w:rPr>
                <w:b w:val="false"/>
                <w:sz w:val="20"/>
                <w:szCs w:val="20"/>
              </w:rPr>
              <w:t>D – Non-qualified</w:t>
            </w:r>
          </w:p>
        </w:tc>
        <w:tc>
          <w:tcPr>
            <w:tcW w:w="2520" w:type="dxa"/>
            <w:tcBorders/>
            <w:vAlign w:val="bottom"/>
          </w:tcPr>
          <w:p>
            <w:pPr>
              <w:pStyle w:val="Normal"/>
              <w:spacing w:before="0" w:after="200"/>
              <w:rPr>
                <w:sz w:val="20"/>
                <w:szCs w:val="20"/>
              </w:rPr>
            </w:pPr>
            <w:r>
              <w:rPr>
                <w:b w:val="false"/>
                <w:sz w:val="20"/>
                <w:szCs w:val="20"/>
              </w:rPr>
              <w:t>Contaminated/unsafe/unsuitable streams</w:t>
            </w:r>
          </w:p>
        </w:tc>
        <w:tc>
          <w:tcPr>
            <w:tcW w:w="2424" w:type="dxa"/>
            <w:tcBorders/>
            <w:vAlign w:val="bottom"/>
          </w:tcPr>
          <w:p>
            <w:pPr>
              <w:pStyle w:val="Normal"/>
              <w:spacing w:before="0" w:after="200"/>
              <w:rPr>
                <w:sz w:val="20"/>
                <w:szCs w:val="20"/>
              </w:rPr>
            </w:pPr>
            <w:r>
              <w:rPr>
                <w:b w:val="false"/>
                <w:sz w:val="20"/>
                <w:szCs w:val="20"/>
              </w:rPr>
              <w:t>Reject / licensed treatment</w:t>
            </w:r>
          </w:p>
        </w:tc>
        <w:tc>
          <w:tcPr>
            <w:tcW w:w="3060" w:type="dxa"/>
            <w:tcBorders/>
            <w:vAlign w:val="bottom"/>
          </w:tcPr>
          <w:p>
            <w:pPr>
              <w:pStyle w:val="Normal"/>
              <w:spacing w:before="0" w:after="200"/>
              <w:rPr>
                <w:sz w:val="20"/>
                <w:szCs w:val="20"/>
              </w:rPr>
            </w:pPr>
            <w:r>
              <w:rPr>
                <w:b w:val="false"/>
                <w:sz w:val="20"/>
                <w:szCs w:val="20"/>
              </w:rPr>
              <w:t>Never forced into feed to protect safety and brand</w:t>
            </w:r>
          </w:p>
        </w:tc>
      </w:tr>
    </w:tbl>
    <w:p>
      <w:pPr>
        <w:pStyle w:val="Heading1"/>
        <w:rPr/>
      </w:pPr>
      <w:r>
        <w:rPr/>
        <w:t>4. Material flow – base case per 1,000 kg incoming resource</w:t>
      </w:r>
    </w:p>
    <w:tbl>
      <w:tblPr>
        <w:tblW w:w="6852"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4404"/>
        <w:gridCol w:w="1008"/>
        <w:gridCol w:w="1440"/>
      </w:tblGrid>
      <w:tr>
        <w:trPr/>
        <w:tc>
          <w:tcPr>
            <w:tcW w:w="4404" w:type="dxa"/>
            <w:tcBorders/>
            <w:shd w:fill="194137" w:val="clear"/>
            <w:vAlign w:val="center"/>
          </w:tcPr>
          <w:p>
            <w:pPr>
              <w:pStyle w:val="Normal"/>
              <w:spacing w:before="0" w:after="200"/>
              <w:rPr>
                <w:sz w:val="20"/>
                <w:szCs w:val="20"/>
              </w:rPr>
            </w:pPr>
            <w:r>
              <w:rPr>
                <w:b/>
                <w:color w:val="FFFFFF"/>
                <w:sz w:val="20"/>
                <w:szCs w:val="20"/>
              </w:rPr>
              <w:t>Output / disposition</w:t>
            </w:r>
          </w:p>
        </w:tc>
        <w:tc>
          <w:tcPr>
            <w:tcW w:w="1008" w:type="dxa"/>
            <w:tcBorders/>
            <w:shd w:fill="194137" w:val="clear"/>
            <w:vAlign w:val="center"/>
          </w:tcPr>
          <w:p>
            <w:pPr>
              <w:pStyle w:val="Normal"/>
              <w:spacing w:before="0" w:after="200"/>
              <w:jc w:val="end"/>
              <w:rPr>
                <w:sz w:val="20"/>
                <w:szCs w:val="20"/>
              </w:rPr>
            </w:pPr>
            <w:r>
              <w:rPr>
                <w:b/>
                <w:color w:val="FFFFFF"/>
                <w:sz w:val="20"/>
                <w:szCs w:val="20"/>
              </w:rPr>
              <w:t>kg</w:t>
            </w:r>
          </w:p>
        </w:tc>
        <w:tc>
          <w:tcPr>
            <w:tcW w:w="1440" w:type="dxa"/>
            <w:tcBorders/>
            <w:shd w:fill="194137" w:val="clear"/>
            <w:vAlign w:val="center"/>
          </w:tcPr>
          <w:p>
            <w:pPr>
              <w:pStyle w:val="Normal"/>
              <w:spacing w:before="0" w:after="200"/>
              <w:jc w:val="end"/>
              <w:rPr>
                <w:sz w:val="20"/>
                <w:szCs w:val="20"/>
              </w:rPr>
            </w:pPr>
            <w:r>
              <w:rPr>
                <w:b/>
                <w:color w:val="FFFFFF"/>
                <w:sz w:val="20"/>
                <w:szCs w:val="20"/>
              </w:rPr>
              <w:t>% of input</w:t>
            </w:r>
          </w:p>
        </w:tc>
      </w:tr>
      <w:tr>
        <w:trPr/>
        <w:tc>
          <w:tcPr>
            <w:tcW w:w="4404" w:type="dxa"/>
            <w:tcBorders/>
            <w:vAlign w:val="center"/>
          </w:tcPr>
          <w:p>
            <w:pPr>
              <w:pStyle w:val="Normal"/>
              <w:spacing w:before="0" w:after="200"/>
              <w:rPr>
                <w:sz w:val="20"/>
                <w:szCs w:val="20"/>
              </w:rPr>
            </w:pPr>
            <w:r>
              <w:rPr>
                <w:b w:val="false"/>
                <w:sz w:val="20"/>
                <w:szCs w:val="20"/>
              </w:rPr>
              <w:t>Recovered standardized feed ingredient (~88% DM)</w:t>
            </w:r>
          </w:p>
        </w:tc>
        <w:tc>
          <w:tcPr>
            <w:tcW w:w="1008" w:type="dxa"/>
            <w:tcBorders/>
            <w:vAlign w:val="center"/>
          </w:tcPr>
          <w:p>
            <w:pPr>
              <w:pStyle w:val="Normal"/>
              <w:spacing w:before="0" w:after="200"/>
              <w:jc w:val="end"/>
              <w:rPr>
                <w:sz w:val="20"/>
                <w:szCs w:val="20"/>
              </w:rPr>
            </w:pPr>
            <w:r>
              <w:rPr>
                <w:b/>
                <w:sz w:val="20"/>
                <w:szCs w:val="20"/>
              </w:rPr>
              <w:t>480</w:t>
            </w:r>
          </w:p>
        </w:tc>
        <w:tc>
          <w:tcPr>
            <w:tcW w:w="1440" w:type="dxa"/>
            <w:tcBorders/>
            <w:vAlign w:val="center"/>
          </w:tcPr>
          <w:p>
            <w:pPr>
              <w:pStyle w:val="Normal"/>
              <w:spacing w:before="0" w:after="200"/>
              <w:jc w:val="end"/>
              <w:rPr>
                <w:sz w:val="20"/>
                <w:szCs w:val="20"/>
              </w:rPr>
            </w:pPr>
            <w:r>
              <w:rPr>
                <w:b w:val="false"/>
                <w:sz w:val="20"/>
                <w:szCs w:val="20"/>
              </w:rPr>
              <w:t>48.0%</w:t>
            </w:r>
          </w:p>
        </w:tc>
      </w:tr>
      <w:tr>
        <w:trPr/>
        <w:tc>
          <w:tcPr>
            <w:tcW w:w="4404" w:type="dxa"/>
            <w:tcBorders/>
            <w:vAlign w:val="center"/>
          </w:tcPr>
          <w:p>
            <w:pPr>
              <w:pStyle w:val="Normal"/>
              <w:spacing w:before="0" w:after="200"/>
              <w:rPr>
                <w:sz w:val="20"/>
                <w:szCs w:val="20"/>
              </w:rPr>
            </w:pPr>
            <w:r>
              <w:rPr>
                <w:b w:val="false"/>
                <w:sz w:val="20"/>
                <w:szCs w:val="20"/>
              </w:rPr>
              <w:t>Organic fertilizer / soil conditioner</w:t>
            </w:r>
          </w:p>
        </w:tc>
        <w:tc>
          <w:tcPr>
            <w:tcW w:w="1008" w:type="dxa"/>
            <w:tcBorders/>
            <w:vAlign w:val="center"/>
          </w:tcPr>
          <w:p>
            <w:pPr>
              <w:pStyle w:val="Normal"/>
              <w:spacing w:before="0" w:after="200"/>
              <w:jc w:val="end"/>
              <w:rPr>
                <w:sz w:val="20"/>
                <w:szCs w:val="20"/>
              </w:rPr>
            </w:pPr>
            <w:r>
              <w:rPr>
                <w:b/>
                <w:sz w:val="20"/>
                <w:szCs w:val="20"/>
              </w:rPr>
              <w:t>138</w:t>
            </w:r>
          </w:p>
        </w:tc>
        <w:tc>
          <w:tcPr>
            <w:tcW w:w="1440" w:type="dxa"/>
            <w:tcBorders/>
            <w:vAlign w:val="center"/>
          </w:tcPr>
          <w:p>
            <w:pPr>
              <w:pStyle w:val="Normal"/>
              <w:spacing w:before="0" w:after="200"/>
              <w:jc w:val="end"/>
              <w:rPr>
                <w:sz w:val="20"/>
                <w:szCs w:val="20"/>
              </w:rPr>
            </w:pPr>
            <w:r>
              <w:rPr>
                <w:b w:val="false"/>
                <w:sz w:val="20"/>
                <w:szCs w:val="20"/>
              </w:rPr>
              <w:t>13.8%</w:t>
            </w:r>
          </w:p>
        </w:tc>
      </w:tr>
      <w:tr>
        <w:trPr/>
        <w:tc>
          <w:tcPr>
            <w:tcW w:w="4404" w:type="dxa"/>
            <w:tcBorders/>
            <w:vAlign w:val="center"/>
          </w:tcPr>
          <w:p>
            <w:pPr>
              <w:pStyle w:val="Normal"/>
              <w:spacing w:before="0" w:after="200"/>
              <w:rPr>
                <w:sz w:val="20"/>
                <w:szCs w:val="20"/>
              </w:rPr>
            </w:pPr>
            <w:r>
              <w:rPr>
                <w:b w:val="false"/>
                <w:sz w:val="20"/>
                <w:szCs w:val="20"/>
              </w:rPr>
              <w:t>Packaging / recyclables</w:t>
            </w:r>
          </w:p>
        </w:tc>
        <w:tc>
          <w:tcPr>
            <w:tcW w:w="1008" w:type="dxa"/>
            <w:tcBorders/>
            <w:vAlign w:val="center"/>
          </w:tcPr>
          <w:p>
            <w:pPr>
              <w:pStyle w:val="Normal"/>
              <w:spacing w:before="0" w:after="200"/>
              <w:jc w:val="end"/>
              <w:rPr>
                <w:sz w:val="20"/>
                <w:szCs w:val="20"/>
              </w:rPr>
            </w:pPr>
            <w:r>
              <w:rPr>
                <w:b/>
                <w:sz w:val="20"/>
                <w:szCs w:val="20"/>
              </w:rPr>
              <w:t>50</w:t>
            </w:r>
          </w:p>
        </w:tc>
        <w:tc>
          <w:tcPr>
            <w:tcW w:w="1440" w:type="dxa"/>
            <w:tcBorders/>
            <w:vAlign w:val="center"/>
          </w:tcPr>
          <w:p>
            <w:pPr>
              <w:pStyle w:val="Normal"/>
              <w:spacing w:before="0" w:after="200"/>
              <w:jc w:val="end"/>
              <w:rPr>
                <w:sz w:val="20"/>
                <w:szCs w:val="20"/>
              </w:rPr>
            </w:pPr>
            <w:r>
              <w:rPr>
                <w:b w:val="false"/>
                <w:sz w:val="20"/>
                <w:szCs w:val="20"/>
              </w:rPr>
              <w:t>5.0%</w:t>
            </w:r>
          </w:p>
        </w:tc>
      </w:tr>
      <w:tr>
        <w:trPr/>
        <w:tc>
          <w:tcPr>
            <w:tcW w:w="4404" w:type="dxa"/>
            <w:tcBorders/>
            <w:vAlign w:val="center"/>
          </w:tcPr>
          <w:p>
            <w:pPr>
              <w:pStyle w:val="Normal"/>
              <w:spacing w:before="0" w:after="200"/>
              <w:rPr>
                <w:sz w:val="20"/>
                <w:szCs w:val="20"/>
              </w:rPr>
            </w:pPr>
            <w:r>
              <w:rPr>
                <w:b w:val="false"/>
                <w:sz w:val="20"/>
                <w:szCs w:val="20"/>
              </w:rPr>
              <w:t>Water evaporation &amp; biological/process loss</w:t>
            </w:r>
          </w:p>
        </w:tc>
        <w:tc>
          <w:tcPr>
            <w:tcW w:w="1008" w:type="dxa"/>
            <w:tcBorders/>
            <w:vAlign w:val="center"/>
          </w:tcPr>
          <w:p>
            <w:pPr>
              <w:pStyle w:val="Normal"/>
              <w:spacing w:before="0" w:after="200"/>
              <w:jc w:val="end"/>
              <w:rPr>
                <w:sz w:val="20"/>
                <w:szCs w:val="20"/>
              </w:rPr>
            </w:pPr>
            <w:r>
              <w:rPr>
                <w:b/>
                <w:sz w:val="20"/>
                <w:szCs w:val="20"/>
              </w:rPr>
              <w:t>300</w:t>
            </w:r>
          </w:p>
        </w:tc>
        <w:tc>
          <w:tcPr>
            <w:tcW w:w="1440" w:type="dxa"/>
            <w:tcBorders/>
            <w:vAlign w:val="center"/>
          </w:tcPr>
          <w:p>
            <w:pPr>
              <w:pStyle w:val="Normal"/>
              <w:spacing w:before="0" w:after="200"/>
              <w:jc w:val="end"/>
              <w:rPr>
                <w:sz w:val="20"/>
                <w:szCs w:val="20"/>
              </w:rPr>
            </w:pPr>
            <w:r>
              <w:rPr>
                <w:b w:val="false"/>
                <w:sz w:val="20"/>
                <w:szCs w:val="20"/>
              </w:rPr>
              <w:t>30.0%</w:t>
            </w:r>
          </w:p>
        </w:tc>
      </w:tr>
      <w:tr>
        <w:trPr/>
        <w:tc>
          <w:tcPr>
            <w:tcW w:w="4404" w:type="dxa"/>
            <w:tcBorders/>
            <w:vAlign w:val="center"/>
          </w:tcPr>
          <w:p>
            <w:pPr>
              <w:pStyle w:val="Normal"/>
              <w:spacing w:before="0" w:after="200"/>
              <w:rPr>
                <w:sz w:val="20"/>
                <w:szCs w:val="20"/>
              </w:rPr>
            </w:pPr>
            <w:r>
              <w:rPr>
                <w:b w:val="false"/>
                <w:sz w:val="20"/>
                <w:szCs w:val="20"/>
              </w:rPr>
              <w:t>Final reject / disposal</w:t>
            </w:r>
          </w:p>
        </w:tc>
        <w:tc>
          <w:tcPr>
            <w:tcW w:w="1008" w:type="dxa"/>
            <w:tcBorders/>
            <w:vAlign w:val="center"/>
          </w:tcPr>
          <w:p>
            <w:pPr>
              <w:pStyle w:val="Normal"/>
              <w:spacing w:before="0" w:after="200"/>
              <w:jc w:val="end"/>
              <w:rPr>
                <w:sz w:val="20"/>
                <w:szCs w:val="20"/>
              </w:rPr>
            </w:pPr>
            <w:r>
              <w:rPr>
                <w:b/>
                <w:sz w:val="20"/>
                <w:szCs w:val="20"/>
              </w:rPr>
              <w:t>32</w:t>
            </w:r>
          </w:p>
        </w:tc>
        <w:tc>
          <w:tcPr>
            <w:tcW w:w="1440" w:type="dxa"/>
            <w:tcBorders/>
            <w:vAlign w:val="center"/>
          </w:tcPr>
          <w:p>
            <w:pPr>
              <w:pStyle w:val="Normal"/>
              <w:spacing w:before="0" w:after="200"/>
              <w:jc w:val="end"/>
              <w:rPr>
                <w:sz w:val="20"/>
                <w:szCs w:val="20"/>
              </w:rPr>
            </w:pPr>
            <w:r>
              <w:rPr>
                <w:b w:val="false"/>
                <w:sz w:val="20"/>
                <w:szCs w:val="20"/>
              </w:rPr>
              <w:t>3.2%</w:t>
            </w:r>
          </w:p>
        </w:tc>
      </w:tr>
      <w:tr>
        <w:trPr/>
        <w:tc>
          <w:tcPr>
            <w:tcW w:w="4404" w:type="dxa"/>
            <w:tcBorders/>
            <w:shd w:fill="EAF2ED" w:val="clear"/>
            <w:vAlign w:val="center"/>
          </w:tcPr>
          <w:p>
            <w:pPr>
              <w:pStyle w:val="Normal"/>
              <w:spacing w:before="0" w:after="200"/>
              <w:rPr>
                <w:sz w:val="20"/>
                <w:szCs w:val="20"/>
              </w:rPr>
            </w:pPr>
            <w:r>
              <w:rPr>
                <w:b/>
                <w:sz w:val="20"/>
                <w:szCs w:val="20"/>
              </w:rPr>
              <w:t>TOTAL</w:t>
            </w:r>
          </w:p>
        </w:tc>
        <w:tc>
          <w:tcPr>
            <w:tcW w:w="1008" w:type="dxa"/>
            <w:tcBorders/>
            <w:shd w:fill="EAF2ED" w:val="clear"/>
            <w:vAlign w:val="center"/>
          </w:tcPr>
          <w:p>
            <w:pPr>
              <w:pStyle w:val="Normal"/>
              <w:spacing w:before="0" w:after="200"/>
              <w:jc w:val="end"/>
              <w:rPr>
                <w:sz w:val="20"/>
                <w:szCs w:val="20"/>
              </w:rPr>
            </w:pPr>
            <w:r>
              <w:rPr>
                <w:b/>
                <w:sz w:val="20"/>
                <w:szCs w:val="20"/>
              </w:rPr>
              <w:t>1,000</w:t>
            </w:r>
          </w:p>
        </w:tc>
        <w:tc>
          <w:tcPr>
            <w:tcW w:w="1440" w:type="dxa"/>
            <w:tcBorders/>
            <w:shd w:fill="EAF2ED" w:val="clear"/>
            <w:vAlign w:val="center"/>
          </w:tcPr>
          <w:p>
            <w:pPr>
              <w:pStyle w:val="Normal"/>
              <w:spacing w:before="0" w:after="200"/>
              <w:jc w:val="end"/>
              <w:rPr>
                <w:sz w:val="20"/>
                <w:szCs w:val="20"/>
              </w:rPr>
            </w:pPr>
            <w:r>
              <w:rPr>
                <w:b/>
                <w:sz w:val="20"/>
                <w:szCs w:val="20"/>
              </w:rPr>
              <w:t>100.0%</w:t>
            </w:r>
          </w:p>
        </w:tc>
      </w:tr>
    </w:tbl>
    <w:p>
      <w:pPr>
        <w:pStyle w:val="Normal"/>
        <w:rPr>
          <w:b/>
        </w:rPr>
      </w:pPr>
      <w:r>
        <w:rPr>
          <w:b/>
        </w:rPr>
      </w:r>
    </w:p>
    <w:p>
      <w:pPr>
        <w:pStyle w:val="Normal"/>
        <w:rPr>
          <w:sz w:val="20"/>
          <w:szCs w:val="20"/>
        </w:rPr>
      </w:pPr>
      <w:r>
        <w:rPr>
          <w:b/>
          <w:sz w:val="20"/>
          <w:szCs w:val="20"/>
        </w:rPr>
        <w:t xml:space="preserve">Critical qualification: </w:t>
      </w:r>
      <w:r>
        <w:rPr>
          <w:sz w:val="20"/>
          <w:szCs w:val="20"/>
        </w:rPr>
        <w:t>this mass balance is a development base case for a deliberately selected feedstock portfolio, not a claim that generic mixed food waste yields 48% feed. Actual yield must be validated through source-by-source sampling, dry-matter analysis, contamination testing and pilot processing.</w:t>
      </w:r>
    </w:p>
    <w:p>
      <w:pPr>
        <w:pStyle w:val="Heading1"/>
        <w:rPr/>
      </w:pPr>
      <w:r>
        <w:rPr/>
        <w:t>5. Unit economics – base case per tonne input</w:t>
      </w:r>
    </w:p>
    <w:tbl>
      <w:tblPr>
        <w:tblW w:w="8292"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3780"/>
        <w:gridCol w:w="1272"/>
        <w:gridCol w:w="1800"/>
        <w:gridCol w:w="1440"/>
      </w:tblGrid>
      <w:tr>
        <w:trPr/>
        <w:tc>
          <w:tcPr>
            <w:tcW w:w="3780" w:type="dxa"/>
            <w:tcBorders/>
            <w:shd w:fill="194137" w:val="clear"/>
            <w:vAlign w:val="center"/>
          </w:tcPr>
          <w:p>
            <w:pPr>
              <w:pStyle w:val="Normal"/>
              <w:spacing w:before="0" w:after="200"/>
              <w:rPr>
                <w:sz w:val="20"/>
                <w:szCs w:val="20"/>
              </w:rPr>
            </w:pPr>
            <w:r>
              <w:rPr>
                <w:b/>
                <w:color w:val="FFFFFF"/>
                <w:sz w:val="20"/>
                <w:szCs w:val="20"/>
              </w:rPr>
              <w:t>Revenue item</w:t>
            </w:r>
          </w:p>
        </w:tc>
        <w:tc>
          <w:tcPr>
            <w:tcW w:w="1272" w:type="dxa"/>
            <w:tcBorders/>
            <w:shd w:fill="194137" w:val="clear"/>
            <w:vAlign w:val="center"/>
          </w:tcPr>
          <w:p>
            <w:pPr>
              <w:pStyle w:val="Normal"/>
              <w:spacing w:before="0" w:after="200"/>
              <w:jc w:val="end"/>
              <w:rPr>
                <w:sz w:val="20"/>
                <w:szCs w:val="20"/>
              </w:rPr>
            </w:pPr>
            <w:r>
              <w:rPr>
                <w:b/>
                <w:color w:val="FFFFFF"/>
                <w:sz w:val="20"/>
                <w:szCs w:val="20"/>
              </w:rPr>
              <w:t>Volume</w:t>
            </w:r>
          </w:p>
        </w:tc>
        <w:tc>
          <w:tcPr>
            <w:tcW w:w="1800" w:type="dxa"/>
            <w:tcBorders/>
            <w:shd w:fill="194137" w:val="clear"/>
            <w:vAlign w:val="center"/>
          </w:tcPr>
          <w:p>
            <w:pPr>
              <w:pStyle w:val="Normal"/>
              <w:spacing w:before="0" w:after="200"/>
              <w:jc w:val="end"/>
              <w:rPr>
                <w:sz w:val="20"/>
                <w:szCs w:val="20"/>
              </w:rPr>
            </w:pPr>
            <w:r>
              <w:rPr>
                <w:b/>
                <w:color w:val="FFFFFF"/>
                <w:sz w:val="20"/>
                <w:szCs w:val="20"/>
              </w:rPr>
              <w:t>Price assumption</w:t>
            </w:r>
          </w:p>
        </w:tc>
        <w:tc>
          <w:tcPr>
            <w:tcW w:w="1440" w:type="dxa"/>
            <w:tcBorders/>
            <w:shd w:fill="194137" w:val="clear"/>
            <w:vAlign w:val="center"/>
          </w:tcPr>
          <w:p>
            <w:pPr>
              <w:pStyle w:val="Normal"/>
              <w:spacing w:before="0" w:after="200"/>
              <w:jc w:val="end"/>
              <w:rPr>
                <w:sz w:val="20"/>
                <w:szCs w:val="20"/>
              </w:rPr>
            </w:pPr>
            <w:r>
              <w:rPr>
                <w:b/>
                <w:color w:val="FFFFFF"/>
                <w:sz w:val="20"/>
                <w:szCs w:val="20"/>
              </w:rPr>
              <w:t>Revenue (VND)</w:t>
            </w:r>
          </w:p>
        </w:tc>
      </w:tr>
      <w:tr>
        <w:trPr/>
        <w:tc>
          <w:tcPr>
            <w:tcW w:w="3780" w:type="dxa"/>
            <w:tcBorders/>
            <w:vAlign w:val="center"/>
          </w:tcPr>
          <w:p>
            <w:pPr>
              <w:pStyle w:val="Normal"/>
              <w:spacing w:before="0" w:after="200"/>
              <w:rPr>
                <w:sz w:val="20"/>
                <w:szCs w:val="20"/>
              </w:rPr>
            </w:pPr>
            <w:r>
              <w:rPr>
                <w:b w:val="false"/>
                <w:sz w:val="20"/>
                <w:szCs w:val="20"/>
              </w:rPr>
              <w:t>Recovered feed ingredient</w:t>
            </w:r>
          </w:p>
        </w:tc>
        <w:tc>
          <w:tcPr>
            <w:tcW w:w="1272" w:type="dxa"/>
            <w:tcBorders/>
            <w:vAlign w:val="center"/>
          </w:tcPr>
          <w:p>
            <w:pPr>
              <w:pStyle w:val="Normal"/>
              <w:spacing w:before="0" w:after="200"/>
              <w:jc w:val="end"/>
              <w:rPr>
                <w:sz w:val="20"/>
                <w:szCs w:val="20"/>
              </w:rPr>
            </w:pPr>
            <w:r>
              <w:rPr>
                <w:b w:val="false"/>
                <w:sz w:val="20"/>
                <w:szCs w:val="20"/>
              </w:rPr>
              <w:t>480 kg</w:t>
            </w:r>
          </w:p>
        </w:tc>
        <w:tc>
          <w:tcPr>
            <w:tcW w:w="1800" w:type="dxa"/>
            <w:tcBorders/>
            <w:vAlign w:val="center"/>
          </w:tcPr>
          <w:p>
            <w:pPr>
              <w:pStyle w:val="Normal"/>
              <w:spacing w:before="0" w:after="200"/>
              <w:jc w:val="end"/>
              <w:rPr>
                <w:sz w:val="20"/>
                <w:szCs w:val="20"/>
              </w:rPr>
            </w:pPr>
            <w:r>
              <w:rPr>
                <w:b w:val="false"/>
                <w:sz w:val="20"/>
                <w:szCs w:val="20"/>
              </w:rPr>
              <w:t>6,000 VND/kg</w:t>
            </w:r>
          </w:p>
        </w:tc>
        <w:tc>
          <w:tcPr>
            <w:tcW w:w="1440" w:type="dxa"/>
            <w:tcBorders/>
            <w:vAlign w:val="center"/>
          </w:tcPr>
          <w:p>
            <w:pPr>
              <w:pStyle w:val="Normal"/>
              <w:spacing w:before="0" w:after="200"/>
              <w:jc w:val="end"/>
              <w:rPr>
                <w:sz w:val="20"/>
                <w:szCs w:val="20"/>
              </w:rPr>
            </w:pPr>
            <w:r>
              <w:rPr>
                <w:b w:val="false"/>
                <w:sz w:val="20"/>
                <w:szCs w:val="20"/>
              </w:rPr>
              <w:t>2,880,000</w:t>
            </w:r>
          </w:p>
        </w:tc>
      </w:tr>
      <w:tr>
        <w:trPr/>
        <w:tc>
          <w:tcPr>
            <w:tcW w:w="3780" w:type="dxa"/>
            <w:tcBorders/>
            <w:vAlign w:val="center"/>
          </w:tcPr>
          <w:p>
            <w:pPr>
              <w:pStyle w:val="Normal"/>
              <w:spacing w:before="0" w:after="200"/>
              <w:rPr>
                <w:sz w:val="20"/>
                <w:szCs w:val="20"/>
              </w:rPr>
            </w:pPr>
            <w:r>
              <w:rPr>
                <w:b w:val="false"/>
                <w:sz w:val="20"/>
                <w:szCs w:val="20"/>
              </w:rPr>
              <w:t>Organic fertilizer / soil conditioner</w:t>
            </w:r>
          </w:p>
        </w:tc>
        <w:tc>
          <w:tcPr>
            <w:tcW w:w="1272" w:type="dxa"/>
            <w:tcBorders/>
            <w:vAlign w:val="center"/>
          </w:tcPr>
          <w:p>
            <w:pPr>
              <w:pStyle w:val="Normal"/>
              <w:spacing w:before="0" w:after="200"/>
              <w:jc w:val="end"/>
              <w:rPr>
                <w:sz w:val="20"/>
                <w:szCs w:val="20"/>
              </w:rPr>
            </w:pPr>
            <w:r>
              <w:rPr>
                <w:b w:val="false"/>
                <w:sz w:val="20"/>
                <w:szCs w:val="20"/>
              </w:rPr>
              <w:t>138 kg</w:t>
            </w:r>
          </w:p>
        </w:tc>
        <w:tc>
          <w:tcPr>
            <w:tcW w:w="1800" w:type="dxa"/>
            <w:tcBorders/>
            <w:vAlign w:val="center"/>
          </w:tcPr>
          <w:p>
            <w:pPr>
              <w:pStyle w:val="Normal"/>
              <w:spacing w:before="0" w:after="200"/>
              <w:jc w:val="end"/>
              <w:rPr>
                <w:sz w:val="20"/>
                <w:szCs w:val="20"/>
              </w:rPr>
            </w:pPr>
            <w:r>
              <w:rPr>
                <w:b w:val="false"/>
                <w:sz w:val="20"/>
                <w:szCs w:val="20"/>
              </w:rPr>
              <w:t>3,500 VND/kg</w:t>
            </w:r>
          </w:p>
        </w:tc>
        <w:tc>
          <w:tcPr>
            <w:tcW w:w="1440" w:type="dxa"/>
            <w:tcBorders/>
            <w:vAlign w:val="center"/>
          </w:tcPr>
          <w:p>
            <w:pPr>
              <w:pStyle w:val="Normal"/>
              <w:spacing w:before="0" w:after="200"/>
              <w:jc w:val="end"/>
              <w:rPr>
                <w:sz w:val="20"/>
                <w:szCs w:val="20"/>
              </w:rPr>
            </w:pPr>
            <w:r>
              <w:rPr>
                <w:b w:val="false"/>
                <w:sz w:val="20"/>
                <w:szCs w:val="20"/>
              </w:rPr>
              <w:t>483,000</w:t>
            </w:r>
          </w:p>
        </w:tc>
      </w:tr>
      <w:tr>
        <w:trPr/>
        <w:tc>
          <w:tcPr>
            <w:tcW w:w="3780" w:type="dxa"/>
            <w:tcBorders/>
            <w:vAlign w:val="center"/>
          </w:tcPr>
          <w:p>
            <w:pPr>
              <w:pStyle w:val="Normal"/>
              <w:spacing w:before="0" w:after="200"/>
              <w:rPr>
                <w:sz w:val="20"/>
                <w:szCs w:val="20"/>
              </w:rPr>
            </w:pPr>
            <w:r>
              <w:rPr>
                <w:b w:val="false"/>
                <w:sz w:val="20"/>
                <w:szCs w:val="20"/>
              </w:rPr>
              <w:t>Recyclables</w:t>
            </w:r>
          </w:p>
        </w:tc>
        <w:tc>
          <w:tcPr>
            <w:tcW w:w="1272" w:type="dxa"/>
            <w:tcBorders/>
            <w:vAlign w:val="center"/>
          </w:tcPr>
          <w:p>
            <w:pPr>
              <w:pStyle w:val="Normal"/>
              <w:spacing w:before="0" w:after="200"/>
              <w:jc w:val="end"/>
              <w:rPr>
                <w:sz w:val="20"/>
                <w:szCs w:val="20"/>
              </w:rPr>
            </w:pPr>
            <w:r>
              <w:rPr>
                <w:b w:val="false"/>
                <w:sz w:val="20"/>
                <w:szCs w:val="20"/>
              </w:rPr>
              <w:t>50 kg</w:t>
            </w:r>
          </w:p>
        </w:tc>
        <w:tc>
          <w:tcPr>
            <w:tcW w:w="1800" w:type="dxa"/>
            <w:tcBorders/>
            <w:vAlign w:val="center"/>
          </w:tcPr>
          <w:p>
            <w:pPr>
              <w:pStyle w:val="Normal"/>
              <w:spacing w:before="0" w:after="200"/>
              <w:jc w:val="end"/>
              <w:rPr>
                <w:sz w:val="20"/>
                <w:szCs w:val="20"/>
              </w:rPr>
            </w:pPr>
            <w:r>
              <w:rPr>
                <w:b w:val="false"/>
                <w:sz w:val="20"/>
                <w:szCs w:val="20"/>
              </w:rPr>
              <w:t>2,000 VND/kg</w:t>
            </w:r>
          </w:p>
        </w:tc>
        <w:tc>
          <w:tcPr>
            <w:tcW w:w="1440" w:type="dxa"/>
            <w:tcBorders/>
            <w:vAlign w:val="center"/>
          </w:tcPr>
          <w:p>
            <w:pPr>
              <w:pStyle w:val="Normal"/>
              <w:spacing w:before="0" w:after="200"/>
              <w:jc w:val="end"/>
              <w:rPr>
                <w:sz w:val="20"/>
                <w:szCs w:val="20"/>
              </w:rPr>
            </w:pPr>
            <w:r>
              <w:rPr>
                <w:b w:val="false"/>
                <w:sz w:val="20"/>
                <w:szCs w:val="20"/>
              </w:rPr>
              <w:t>100,000</w:t>
            </w:r>
          </w:p>
        </w:tc>
      </w:tr>
      <w:tr>
        <w:trPr/>
        <w:tc>
          <w:tcPr>
            <w:tcW w:w="3780" w:type="dxa"/>
            <w:tcBorders/>
            <w:shd w:fill="EAF2ED" w:val="clear"/>
            <w:vAlign w:val="center"/>
          </w:tcPr>
          <w:p>
            <w:pPr>
              <w:pStyle w:val="Normal"/>
              <w:spacing w:before="0" w:after="200"/>
              <w:rPr>
                <w:sz w:val="20"/>
                <w:szCs w:val="20"/>
              </w:rPr>
            </w:pPr>
            <w:r>
              <w:rPr>
                <w:b/>
                <w:sz w:val="20"/>
                <w:szCs w:val="20"/>
              </w:rPr>
              <w:t>TOTAL REVENUE</w:t>
            </w:r>
          </w:p>
        </w:tc>
        <w:tc>
          <w:tcPr>
            <w:tcW w:w="1272" w:type="dxa"/>
            <w:tcBorders/>
            <w:shd w:fill="EAF2ED" w:val="clear"/>
            <w:vAlign w:val="center"/>
          </w:tcPr>
          <w:p>
            <w:pPr>
              <w:pStyle w:val="Normal"/>
              <w:spacing w:before="0" w:after="200"/>
              <w:jc w:val="end"/>
              <w:rPr>
                <w:sz w:val="20"/>
                <w:szCs w:val="20"/>
              </w:rPr>
            </w:pPr>
            <w:r>
              <w:rPr>
                <w:sz w:val="20"/>
                <w:szCs w:val="20"/>
              </w:rPr>
            </w:r>
          </w:p>
        </w:tc>
        <w:tc>
          <w:tcPr>
            <w:tcW w:w="1800" w:type="dxa"/>
            <w:tcBorders/>
            <w:shd w:fill="EAF2ED" w:val="clear"/>
            <w:vAlign w:val="center"/>
          </w:tcPr>
          <w:p>
            <w:pPr>
              <w:pStyle w:val="Normal"/>
              <w:spacing w:before="0" w:after="200"/>
              <w:jc w:val="end"/>
              <w:rPr>
                <w:sz w:val="20"/>
                <w:szCs w:val="20"/>
              </w:rPr>
            </w:pPr>
            <w:r>
              <w:rPr>
                <w:sz w:val="20"/>
                <w:szCs w:val="20"/>
              </w:rPr>
            </w:r>
          </w:p>
        </w:tc>
        <w:tc>
          <w:tcPr>
            <w:tcW w:w="1440" w:type="dxa"/>
            <w:tcBorders/>
            <w:shd w:fill="EAF2ED" w:val="clear"/>
            <w:vAlign w:val="center"/>
          </w:tcPr>
          <w:p>
            <w:pPr>
              <w:pStyle w:val="Normal"/>
              <w:spacing w:before="0" w:after="200"/>
              <w:jc w:val="end"/>
              <w:rPr>
                <w:sz w:val="20"/>
                <w:szCs w:val="20"/>
              </w:rPr>
            </w:pPr>
            <w:r>
              <w:rPr>
                <w:b/>
                <w:sz w:val="20"/>
                <w:szCs w:val="20"/>
              </w:rPr>
              <w:t>3,463,000</w:t>
            </w:r>
          </w:p>
        </w:tc>
      </w:tr>
    </w:tbl>
    <w:p>
      <w:pPr>
        <w:pStyle w:val="Normal"/>
        <w:rPr/>
      </w:pPr>
      <w:r>
        <w:rPr/>
      </w:r>
    </w:p>
    <w:tbl>
      <w:tblPr>
        <w:tblW w:w="5400"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3324"/>
        <w:gridCol w:w="2076"/>
      </w:tblGrid>
      <w:tr>
        <w:trPr/>
        <w:tc>
          <w:tcPr>
            <w:tcW w:w="3324" w:type="dxa"/>
            <w:tcBorders/>
            <w:shd w:fill="194137" w:val="clear"/>
            <w:vAlign w:val="center"/>
          </w:tcPr>
          <w:p>
            <w:pPr>
              <w:pStyle w:val="Normal"/>
              <w:spacing w:before="0" w:after="200"/>
              <w:rPr>
                <w:sz w:val="20"/>
                <w:szCs w:val="20"/>
              </w:rPr>
            </w:pPr>
            <w:r>
              <w:rPr>
                <w:b/>
                <w:color w:val="FFFFFF"/>
                <w:sz w:val="20"/>
                <w:szCs w:val="20"/>
              </w:rPr>
              <w:t>Variable cost</w:t>
            </w:r>
          </w:p>
        </w:tc>
        <w:tc>
          <w:tcPr>
            <w:tcW w:w="2076" w:type="dxa"/>
            <w:tcBorders/>
            <w:shd w:fill="194137" w:val="clear"/>
            <w:vAlign w:val="center"/>
          </w:tcPr>
          <w:p>
            <w:pPr>
              <w:pStyle w:val="Normal"/>
              <w:spacing w:before="0" w:after="200"/>
              <w:rPr>
                <w:sz w:val="20"/>
                <w:szCs w:val="20"/>
              </w:rPr>
            </w:pPr>
            <w:r>
              <w:rPr>
                <w:b/>
                <w:color w:val="FFFFFF"/>
                <w:sz w:val="20"/>
                <w:szCs w:val="20"/>
              </w:rPr>
              <w:t>VND / tonne input</w:t>
            </w:r>
          </w:p>
        </w:tc>
      </w:tr>
      <w:tr>
        <w:trPr/>
        <w:tc>
          <w:tcPr>
            <w:tcW w:w="3324" w:type="dxa"/>
            <w:tcBorders/>
            <w:vAlign w:val="center"/>
          </w:tcPr>
          <w:p>
            <w:pPr>
              <w:pStyle w:val="Normal"/>
              <w:spacing w:before="0" w:after="200"/>
              <w:rPr>
                <w:sz w:val="20"/>
                <w:szCs w:val="20"/>
              </w:rPr>
            </w:pPr>
            <w:r>
              <w:rPr>
                <w:b w:val="false"/>
                <w:sz w:val="20"/>
                <w:szCs w:val="20"/>
              </w:rPr>
              <w:t>Feedstock purchase / supplier payment</w:t>
            </w:r>
          </w:p>
        </w:tc>
        <w:tc>
          <w:tcPr>
            <w:tcW w:w="2076" w:type="dxa"/>
            <w:tcBorders/>
            <w:vAlign w:val="center"/>
          </w:tcPr>
          <w:p>
            <w:pPr>
              <w:pStyle w:val="Normal"/>
              <w:spacing w:before="0" w:after="200"/>
              <w:rPr>
                <w:sz w:val="20"/>
                <w:szCs w:val="20"/>
              </w:rPr>
            </w:pPr>
            <w:r>
              <w:rPr>
                <w:b w:val="false"/>
                <w:sz w:val="20"/>
                <w:szCs w:val="20"/>
              </w:rPr>
              <w:t>250,000</w:t>
            </w:r>
          </w:p>
        </w:tc>
      </w:tr>
      <w:tr>
        <w:trPr/>
        <w:tc>
          <w:tcPr>
            <w:tcW w:w="3324" w:type="dxa"/>
            <w:tcBorders/>
            <w:vAlign w:val="center"/>
          </w:tcPr>
          <w:p>
            <w:pPr>
              <w:pStyle w:val="Normal"/>
              <w:spacing w:before="0" w:after="200"/>
              <w:rPr>
                <w:sz w:val="20"/>
                <w:szCs w:val="20"/>
              </w:rPr>
            </w:pPr>
            <w:r>
              <w:rPr>
                <w:b w:val="false"/>
                <w:sz w:val="20"/>
                <w:szCs w:val="20"/>
              </w:rPr>
              <w:t>Collection &amp; inbound logistics</w:t>
            </w:r>
          </w:p>
        </w:tc>
        <w:tc>
          <w:tcPr>
            <w:tcW w:w="2076" w:type="dxa"/>
            <w:tcBorders/>
            <w:vAlign w:val="center"/>
          </w:tcPr>
          <w:p>
            <w:pPr>
              <w:pStyle w:val="Normal"/>
              <w:spacing w:before="0" w:after="200"/>
              <w:rPr>
                <w:sz w:val="20"/>
                <w:szCs w:val="20"/>
              </w:rPr>
            </w:pPr>
            <w:r>
              <w:rPr>
                <w:b w:val="false"/>
                <w:sz w:val="20"/>
                <w:szCs w:val="20"/>
              </w:rPr>
              <w:t>400,000</w:t>
            </w:r>
          </w:p>
        </w:tc>
      </w:tr>
      <w:tr>
        <w:trPr/>
        <w:tc>
          <w:tcPr>
            <w:tcW w:w="3324" w:type="dxa"/>
            <w:tcBorders/>
            <w:vAlign w:val="center"/>
          </w:tcPr>
          <w:p>
            <w:pPr>
              <w:pStyle w:val="Normal"/>
              <w:spacing w:before="0" w:after="200"/>
              <w:rPr>
                <w:sz w:val="20"/>
                <w:szCs w:val="20"/>
              </w:rPr>
            </w:pPr>
            <w:r>
              <w:rPr>
                <w:b w:val="false"/>
                <w:sz w:val="20"/>
                <w:szCs w:val="20"/>
              </w:rPr>
              <w:t>Sorting &amp; de-packaging</w:t>
            </w:r>
          </w:p>
        </w:tc>
        <w:tc>
          <w:tcPr>
            <w:tcW w:w="2076" w:type="dxa"/>
            <w:tcBorders/>
            <w:vAlign w:val="center"/>
          </w:tcPr>
          <w:p>
            <w:pPr>
              <w:pStyle w:val="Normal"/>
              <w:spacing w:before="0" w:after="200"/>
              <w:rPr>
                <w:sz w:val="20"/>
                <w:szCs w:val="20"/>
              </w:rPr>
            </w:pPr>
            <w:r>
              <w:rPr>
                <w:b w:val="false"/>
                <w:sz w:val="20"/>
                <w:szCs w:val="20"/>
              </w:rPr>
              <w:t>130,000</w:t>
            </w:r>
          </w:p>
        </w:tc>
      </w:tr>
      <w:tr>
        <w:trPr/>
        <w:tc>
          <w:tcPr>
            <w:tcW w:w="3324" w:type="dxa"/>
            <w:tcBorders/>
            <w:vAlign w:val="center"/>
          </w:tcPr>
          <w:p>
            <w:pPr>
              <w:pStyle w:val="Normal"/>
              <w:spacing w:before="0" w:after="200"/>
              <w:rPr>
                <w:sz w:val="20"/>
                <w:szCs w:val="20"/>
              </w:rPr>
            </w:pPr>
            <w:r>
              <w:rPr>
                <w:b w:val="false"/>
                <w:sz w:val="20"/>
                <w:szCs w:val="20"/>
              </w:rPr>
              <w:t>Electricity</w:t>
            </w:r>
          </w:p>
        </w:tc>
        <w:tc>
          <w:tcPr>
            <w:tcW w:w="2076" w:type="dxa"/>
            <w:tcBorders/>
            <w:vAlign w:val="center"/>
          </w:tcPr>
          <w:p>
            <w:pPr>
              <w:pStyle w:val="Normal"/>
              <w:spacing w:before="0" w:after="200"/>
              <w:rPr>
                <w:sz w:val="20"/>
                <w:szCs w:val="20"/>
              </w:rPr>
            </w:pPr>
            <w:r>
              <w:rPr>
                <w:b w:val="false"/>
                <w:sz w:val="20"/>
                <w:szCs w:val="20"/>
              </w:rPr>
              <w:t>100,000</w:t>
            </w:r>
          </w:p>
        </w:tc>
      </w:tr>
      <w:tr>
        <w:trPr/>
        <w:tc>
          <w:tcPr>
            <w:tcW w:w="3324" w:type="dxa"/>
            <w:tcBorders/>
            <w:vAlign w:val="center"/>
          </w:tcPr>
          <w:p>
            <w:pPr>
              <w:pStyle w:val="Normal"/>
              <w:spacing w:before="0" w:after="200"/>
              <w:rPr>
                <w:sz w:val="20"/>
                <w:szCs w:val="20"/>
              </w:rPr>
            </w:pPr>
            <w:r>
              <w:rPr>
                <w:b w:val="false"/>
                <w:sz w:val="20"/>
                <w:szCs w:val="20"/>
              </w:rPr>
              <w:t>Thermal energy / drying</w:t>
            </w:r>
          </w:p>
        </w:tc>
        <w:tc>
          <w:tcPr>
            <w:tcW w:w="2076" w:type="dxa"/>
            <w:tcBorders/>
            <w:vAlign w:val="center"/>
          </w:tcPr>
          <w:p>
            <w:pPr>
              <w:pStyle w:val="Normal"/>
              <w:spacing w:before="0" w:after="200"/>
              <w:rPr>
                <w:sz w:val="20"/>
                <w:szCs w:val="20"/>
              </w:rPr>
            </w:pPr>
            <w:r>
              <w:rPr>
                <w:b w:val="false"/>
                <w:sz w:val="20"/>
                <w:szCs w:val="20"/>
              </w:rPr>
              <w:t>300,000</w:t>
            </w:r>
          </w:p>
        </w:tc>
      </w:tr>
      <w:tr>
        <w:trPr/>
        <w:tc>
          <w:tcPr>
            <w:tcW w:w="3324" w:type="dxa"/>
            <w:tcBorders/>
            <w:vAlign w:val="center"/>
          </w:tcPr>
          <w:p>
            <w:pPr>
              <w:pStyle w:val="Normal"/>
              <w:spacing w:before="0" w:after="200"/>
              <w:rPr>
                <w:sz w:val="20"/>
                <w:szCs w:val="20"/>
              </w:rPr>
            </w:pPr>
            <w:r>
              <w:rPr>
                <w:b w:val="false"/>
                <w:sz w:val="20"/>
                <w:szCs w:val="20"/>
              </w:rPr>
              <w:t>Fertilizer processing</w:t>
            </w:r>
          </w:p>
        </w:tc>
        <w:tc>
          <w:tcPr>
            <w:tcW w:w="2076" w:type="dxa"/>
            <w:tcBorders/>
            <w:vAlign w:val="center"/>
          </w:tcPr>
          <w:p>
            <w:pPr>
              <w:pStyle w:val="Normal"/>
              <w:spacing w:before="0" w:after="200"/>
              <w:rPr>
                <w:sz w:val="20"/>
                <w:szCs w:val="20"/>
              </w:rPr>
            </w:pPr>
            <w:r>
              <w:rPr>
                <w:b w:val="false"/>
                <w:sz w:val="20"/>
                <w:szCs w:val="20"/>
              </w:rPr>
              <w:t>90,000</w:t>
            </w:r>
          </w:p>
        </w:tc>
      </w:tr>
      <w:tr>
        <w:trPr/>
        <w:tc>
          <w:tcPr>
            <w:tcW w:w="3324" w:type="dxa"/>
            <w:tcBorders/>
            <w:vAlign w:val="center"/>
          </w:tcPr>
          <w:p>
            <w:pPr>
              <w:pStyle w:val="Normal"/>
              <w:spacing w:before="0" w:after="200"/>
              <w:rPr>
                <w:sz w:val="20"/>
                <w:szCs w:val="20"/>
              </w:rPr>
            </w:pPr>
            <w:r>
              <w:rPr>
                <w:b w:val="false"/>
                <w:sz w:val="20"/>
                <w:szCs w:val="20"/>
              </w:rPr>
              <w:t>Direct labour</w:t>
            </w:r>
          </w:p>
        </w:tc>
        <w:tc>
          <w:tcPr>
            <w:tcW w:w="2076" w:type="dxa"/>
            <w:tcBorders/>
            <w:vAlign w:val="center"/>
          </w:tcPr>
          <w:p>
            <w:pPr>
              <w:pStyle w:val="Normal"/>
              <w:spacing w:before="0" w:after="200"/>
              <w:rPr>
                <w:sz w:val="20"/>
                <w:szCs w:val="20"/>
              </w:rPr>
            </w:pPr>
            <w:r>
              <w:rPr>
                <w:b w:val="false"/>
                <w:sz w:val="20"/>
                <w:szCs w:val="20"/>
              </w:rPr>
              <w:t>100,000</w:t>
            </w:r>
          </w:p>
        </w:tc>
      </w:tr>
      <w:tr>
        <w:trPr/>
        <w:tc>
          <w:tcPr>
            <w:tcW w:w="3324" w:type="dxa"/>
            <w:tcBorders/>
            <w:vAlign w:val="center"/>
          </w:tcPr>
          <w:p>
            <w:pPr>
              <w:pStyle w:val="Normal"/>
              <w:spacing w:before="0" w:after="200"/>
              <w:rPr>
                <w:sz w:val="20"/>
                <w:szCs w:val="20"/>
              </w:rPr>
            </w:pPr>
            <w:r>
              <w:rPr>
                <w:b w:val="false"/>
                <w:sz w:val="20"/>
                <w:szCs w:val="20"/>
              </w:rPr>
              <w:t>QA/QC &amp; laboratory</w:t>
            </w:r>
          </w:p>
        </w:tc>
        <w:tc>
          <w:tcPr>
            <w:tcW w:w="2076" w:type="dxa"/>
            <w:tcBorders/>
            <w:vAlign w:val="center"/>
          </w:tcPr>
          <w:p>
            <w:pPr>
              <w:pStyle w:val="Normal"/>
              <w:spacing w:before="0" w:after="200"/>
              <w:rPr>
                <w:sz w:val="20"/>
                <w:szCs w:val="20"/>
              </w:rPr>
            </w:pPr>
            <w:r>
              <w:rPr>
                <w:b w:val="false"/>
                <w:sz w:val="20"/>
                <w:szCs w:val="20"/>
              </w:rPr>
              <w:t>40,000</w:t>
            </w:r>
          </w:p>
        </w:tc>
      </w:tr>
      <w:tr>
        <w:trPr/>
        <w:tc>
          <w:tcPr>
            <w:tcW w:w="3324" w:type="dxa"/>
            <w:tcBorders/>
            <w:vAlign w:val="center"/>
          </w:tcPr>
          <w:p>
            <w:pPr>
              <w:pStyle w:val="Normal"/>
              <w:spacing w:before="0" w:after="200"/>
              <w:rPr>
                <w:sz w:val="20"/>
                <w:szCs w:val="20"/>
              </w:rPr>
            </w:pPr>
            <w:r>
              <w:rPr>
                <w:b w:val="false"/>
                <w:sz w:val="20"/>
                <w:szCs w:val="20"/>
              </w:rPr>
              <w:t>Wastewater / odour / sanitation</w:t>
            </w:r>
          </w:p>
        </w:tc>
        <w:tc>
          <w:tcPr>
            <w:tcW w:w="2076" w:type="dxa"/>
            <w:tcBorders/>
            <w:vAlign w:val="center"/>
          </w:tcPr>
          <w:p>
            <w:pPr>
              <w:pStyle w:val="Normal"/>
              <w:spacing w:before="0" w:after="200"/>
              <w:rPr>
                <w:sz w:val="20"/>
                <w:szCs w:val="20"/>
              </w:rPr>
            </w:pPr>
            <w:r>
              <w:rPr>
                <w:b w:val="false"/>
                <w:sz w:val="20"/>
                <w:szCs w:val="20"/>
              </w:rPr>
              <w:t>45,000</w:t>
            </w:r>
          </w:p>
        </w:tc>
      </w:tr>
      <w:tr>
        <w:trPr/>
        <w:tc>
          <w:tcPr>
            <w:tcW w:w="3324" w:type="dxa"/>
            <w:tcBorders/>
            <w:vAlign w:val="center"/>
          </w:tcPr>
          <w:p>
            <w:pPr>
              <w:pStyle w:val="Normal"/>
              <w:spacing w:before="0" w:after="200"/>
              <w:rPr>
                <w:sz w:val="20"/>
                <w:szCs w:val="20"/>
              </w:rPr>
            </w:pPr>
            <w:r>
              <w:rPr>
                <w:b w:val="false"/>
                <w:sz w:val="20"/>
                <w:szCs w:val="20"/>
              </w:rPr>
              <w:t>Maintenance &amp; consumables</w:t>
            </w:r>
          </w:p>
        </w:tc>
        <w:tc>
          <w:tcPr>
            <w:tcW w:w="2076" w:type="dxa"/>
            <w:tcBorders/>
            <w:vAlign w:val="center"/>
          </w:tcPr>
          <w:p>
            <w:pPr>
              <w:pStyle w:val="Normal"/>
              <w:spacing w:before="0" w:after="200"/>
              <w:rPr>
                <w:sz w:val="20"/>
                <w:szCs w:val="20"/>
              </w:rPr>
            </w:pPr>
            <w:r>
              <w:rPr>
                <w:b w:val="false"/>
                <w:sz w:val="20"/>
                <w:szCs w:val="20"/>
              </w:rPr>
              <w:t>65,000</w:t>
            </w:r>
          </w:p>
        </w:tc>
      </w:tr>
      <w:tr>
        <w:trPr/>
        <w:tc>
          <w:tcPr>
            <w:tcW w:w="3324" w:type="dxa"/>
            <w:tcBorders/>
            <w:vAlign w:val="center"/>
          </w:tcPr>
          <w:p>
            <w:pPr>
              <w:pStyle w:val="Normal"/>
              <w:spacing w:before="0" w:after="200"/>
              <w:rPr>
                <w:sz w:val="20"/>
                <w:szCs w:val="20"/>
              </w:rPr>
            </w:pPr>
            <w:r>
              <w:rPr>
                <w:b w:val="false"/>
                <w:sz w:val="20"/>
                <w:szCs w:val="20"/>
              </w:rPr>
              <w:t>Reject disposal</w:t>
            </w:r>
          </w:p>
        </w:tc>
        <w:tc>
          <w:tcPr>
            <w:tcW w:w="2076" w:type="dxa"/>
            <w:tcBorders/>
            <w:vAlign w:val="center"/>
          </w:tcPr>
          <w:p>
            <w:pPr>
              <w:pStyle w:val="Normal"/>
              <w:spacing w:before="0" w:after="200"/>
              <w:rPr>
                <w:sz w:val="20"/>
                <w:szCs w:val="20"/>
              </w:rPr>
            </w:pPr>
            <w:r>
              <w:rPr>
                <w:b w:val="false"/>
                <w:sz w:val="20"/>
                <w:szCs w:val="20"/>
              </w:rPr>
              <w:t>25,000</w:t>
            </w:r>
          </w:p>
        </w:tc>
      </w:tr>
      <w:tr>
        <w:trPr/>
        <w:tc>
          <w:tcPr>
            <w:tcW w:w="3324" w:type="dxa"/>
            <w:tcBorders/>
            <w:shd w:fill="EAF2ED" w:val="clear"/>
            <w:vAlign w:val="center"/>
          </w:tcPr>
          <w:p>
            <w:pPr>
              <w:pStyle w:val="Normal"/>
              <w:spacing w:before="0" w:after="200"/>
              <w:rPr>
                <w:sz w:val="20"/>
                <w:szCs w:val="20"/>
              </w:rPr>
            </w:pPr>
            <w:r>
              <w:rPr>
                <w:b/>
                <w:sz w:val="20"/>
                <w:szCs w:val="20"/>
              </w:rPr>
              <w:t>TOTAL VARIABLE COST</w:t>
            </w:r>
          </w:p>
        </w:tc>
        <w:tc>
          <w:tcPr>
            <w:tcW w:w="2076" w:type="dxa"/>
            <w:tcBorders/>
            <w:shd w:fill="EAF2ED" w:val="clear"/>
            <w:vAlign w:val="center"/>
          </w:tcPr>
          <w:p>
            <w:pPr>
              <w:pStyle w:val="Normal"/>
              <w:spacing w:before="0" w:after="200"/>
              <w:rPr>
                <w:sz w:val="20"/>
                <w:szCs w:val="20"/>
              </w:rPr>
            </w:pPr>
            <w:r>
              <w:rPr>
                <w:b/>
                <w:sz w:val="20"/>
                <w:szCs w:val="20"/>
              </w:rPr>
              <w:t>1,545,000</w:t>
            </w:r>
          </w:p>
        </w:tc>
      </w:tr>
    </w:tbl>
    <w:p>
      <w:pPr>
        <w:pStyle w:val="Normal"/>
        <w:rPr>
          <w:b/>
          <w:color w:val="16463A"/>
          <w:sz w:val="22"/>
        </w:rPr>
      </w:pPr>
      <w:r>
        <w:rPr>
          <w:b/>
          <w:color w:val="16463A"/>
          <w:sz w:val="22"/>
        </w:rPr>
      </w:r>
    </w:p>
    <w:p>
      <w:pPr>
        <w:pStyle w:val="Normal"/>
        <w:rPr>
          <w:b/>
          <w:color w:val="16463A"/>
          <w:sz w:val="20"/>
          <w:szCs w:val="20"/>
        </w:rPr>
      </w:pPr>
      <w:r>
        <w:rPr>
          <w:b/>
          <w:color w:val="16463A"/>
          <w:sz w:val="20"/>
          <w:szCs w:val="20"/>
        </w:rPr>
        <w:t>Base contribution: 1,918,000 VND/t input (~US$72/t at 26,500 VND/USD), or ~55% contribution margin before fixed overhead, depreciation and financing.</w:t>
      </w:r>
    </w:p>
    <w:p>
      <w:pPr>
        <w:pStyle w:val="Heading1"/>
        <w:rPr/>
      </w:pPr>
      <w:r>
        <w:rPr/>
        <w:t>6. Stabilized operating case</w:t>
      </w:r>
    </w:p>
    <w:tbl>
      <w:tblPr>
        <w:tblW w:w="10164"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3389"/>
        <w:gridCol w:w="1915"/>
        <w:gridCol w:w="4860"/>
      </w:tblGrid>
      <w:tr>
        <w:trPr/>
        <w:tc>
          <w:tcPr>
            <w:tcW w:w="3389" w:type="dxa"/>
            <w:tcBorders/>
            <w:shd w:fill="194137" w:val="clear"/>
            <w:vAlign w:val="center"/>
          </w:tcPr>
          <w:p>
            <w:pPr>
              <w:pStyle w:val="Normal"/>
              <w:spacing w:before="0" w:after="200"/>
              <w:rPr>
                <w:sz w:val="20"/>
                <w:szCs w:val="20"/>
              </w:rPr>
            </w:pPr>
            <w:r>
              <w:rPr>
                <w:b/>
                <w:color w:val="FFFFFF"/>
                <w:sz w:val="20"/>
                <w:szCs w:val="20"/>
              </w:rPr>
              <w:t>Metric</w:t>
            </w:r>
          </w:p>
        </w:tc>
        <w:tc>
          <w:tcPr>
            <w:tcW w:w="1915" w:type="dxa"/>
            <w:tcBorders/>
            <w:shd w:fill="194137" w:val="clear"/>
            <w:vAlign w:val="center"/>
          </w:tcPr>
          <w:p>
            <w:pPr>
              <w:pStyle w:val="Normal"/>
              <w:spacing w:before="0" w:after="200"/>
              <w:jc w:val="center"/>
              <w:rPr>
                <w:sz w:val="20"/>
                <w:szCs w:val="20"/>
              </w:rPr>
            </w:pPr>
            <w:r>
              <w:rPr>
                <w:b/>
                <w:color w:val="FFFFFF"/>
                <w:sz w:val="20"/>
                <w:szCs w:val="20"/>
              </w:rPr>
              <w:t>Base case</w:t>
            </w:r>
          </w:p>
        </w:tc>
        <w:tc>
          <w:tcPr>
            <w:tcW w:w="4860" w:type="dxa"/>
            <w:tcBorders/>
            <w:shd w:fill="194137" w:val="clear"/>
            <w:vAlign w:val="center"/>
          </w:tcPr>
          <w:p>
            <w:pPr>
              <w:pStyle w:val="Normal"/>
              <w:spacing w:before="0" w:after="200"/>
              <w:rPr>
                <w:sz w:val="20"/>
                <w:szCs w:val="20"/>
              </w:rPr>
            </w:pPr>
            <w:r>
              <w:rPr>
                <w:b/>
                <w:color w:val="FFFFFF"/>
                <w:sz w:val="20"/>
                <w:szCs w:val="20"/>
              </w:rPr>
              <w:t>Comment</w:t>
            </w:r>
          </w:p>
        </w:tc>
      </w:tr>
      <w:tr>
        <w:trPr/>
        <w:tc>
          <w:tcPr>
            <w:tcW w:w="3389" w:type="dxa"/>
            <w:tcBorders/>
            <w:vAlign w:val="center"/>
          </w:tcPr>
          <w:p>
            <w:pPr>
              <w:pStyle w:val="Normal"/>
              <w:spacing w:before="0" w:after="200"/>
              <w:rPr>
                <w:sz w:val="20"/>
                <w:szCs w:val="20"/>
              </w:rPr>
            </w:pPr>
            <w:r>
              <w:rPr>
                <w:b w:val="false"/>
                <w:sz w:val="20"/>
                <w:szCs w:val="20"/>
              </w:rPr>
              <w:t>Design incoming capacity</w:t>
            </w:r>
          </w:p>
        </w:tc>
        <w:tc>
          <w:tcPr>
            <w:tcW w:w="1915" w:type="dxa"/>
            <w:tcBorders/>
            <w:vAlign w:val="center"/>
          </w:tcPr>
          <w:p>
            <w:pPr>
              <w:pStyle w:val="Normal"/>
              <w:spacing w:before="0" w:after="200"/>
              <w:jc w:val="center"/>
              <w:rPr>
                <w:sz w:val="20"/>
                <w:szCs w:val="20"/>
              </w:rPr>
            </w:pPr>
            <w:r>
              <w:rPr>
                <w:b w:val="false"/>
                <w:sz w:val="20"/>
                <w:szCs w:val="20"/>
              </w:rPr>
              <w:t>300,000 tpa</w:t>
            </w:r>
          </w:p>
        </w:tc>
        <w:tc>
          <w:tcPr>
            <w:tcW w:w="4860" w:type="dxa"/>
            <w:tcBorders/>
            <w:vAlign w:val="center"/>
          </w:tcPr>
          <w:p>
            <w:pPr>
              <w:pStyle w:val="Normal"/>
              <w:spacing w:before="0" w:after="200"/>
              <w:rPr>
                <w:sz w:val="20"/>
                <w:szCs w:val="20"/>
              </w:rPr>
            </w:pPr>
            <w:r>
              <w:rPr>
                <w:b w:val="false"/>
                <w:sz w:val="20"/>
                <w:szCs w:val="20"/>
              </w:rPr>
              <w:t>~909 t/day at 330 operating days</w:t>
            </w:r>
          </w:p>
        </w:tc>
      </w:tr>
      <w:tr>
        <w:trPr/>
        <w:tc>
          <w:tcPr>
            <w:tcW w:w="3389" w:type="dxa"/>
            <w:tcBorders/>
            <w:vAlign w:val="center"/>
          </w:tcPr>
          <w:p>
            <w:pPr>
              <w:pStyle w:val="Normal"/>
              <w:spacing w:before="0" w:after="200"/>
              <w:rPr>
                <w:sz w:val="20"/>
                <w:szCs w:val="20"/>
              </w:rPr>
            </w:pPr>
            <w:r>
              <w:rPr>
                <w:b w:val="false"/>
                <w:sz w:val="20"/>
                <w:szCs w:val="20"/>
              </w:rPr>
              <w:t>Stabilized utilization</w:t>
            </w:r>
          </w:p>
        </w:tc>
        <w:tc>
          <w:tcPr>
            <w:tcW w:w="1915" w:type="dxa"/>
            <w:tcBorders/>
            <w:vAlign w:val="center"/>
          </w:tcPr>
          <w:p>
            <w:pPr>
              <w:pStyle w:val="Normal"/>
              <w:spacing w:before="0" w:after="200"/>
              <w:jc w:val="center"/>
              <w:rPr>
                <w:sz w:val="20"/>
                <w:szCs w:val="20"/>
              </w:rPr>
            </w:pPr>
            <w:r>
              <w:rPr>
                <w:b w:val="false"/>
                <w:sz w:val="20"/>
                <w:szCs w:val="20"/>
              </w:rPr>
              <w:t>80%</w:t>
            </w:r>
          </w:p>
        </w:tc>
        <w:tc>
          <w:tcPr>
            <w:tcW w:w="4860" w:type="dxa"/>
            <w:tcBorders/>
            <w:vAlign w:val="center"/>
          </w:tcPr>
          <w:p>
            <w:pPr>
              <w:pStyle w:val="Normal"/>
              <w:spacing w:before="0" w:after="200"/>
              <w:rPr>
                <w:sz w:val="20"/>
                <w:szCs w:val="20"/>
              </w:rPr>
            </w:pPr>
            <w:r>
              <w:rPr>
                <w:b w:val="false"/>
                <w:sz w:val="20"/>
                <w:szCs w:val="20"/>
              </w:rPr>
              <w:t>240,000 tpa processed</w:t>
            </w:r>
          </w:p>
        </w:tc>
      </w:tr>
      <w:tr>
        <w:trPr/>
        <w:tc>
          <w:tcPr>
            <w:tcW w:w="3389" w:type="dxa"/>
            <w:tcBorders/>
            <w:vAlign w:val="center"/>
          </w:tcPr>
          <w:p>
            <w:pPr>
              <w:pStyle w:val="Normal"/>
              <w:spacing w:before="0" w:after="200"/>
              <w:rPr>
                <w:sz w:val="20"/>
                <w:szCs w:val="20"/>
              </w:rPr>
            </w:pPr>
            <w:r>
              <w:rPr>
                <w:b w:val="false"/>
                <w:sz w:val="20"/>
                <w:szCs w:val="20"/>
              </w:rPr>
              <w:t>Revenue</w:t>
            </w:r>
          </w:p>
        </w:tc>
        <w:tc>
          <w:tcPr>
            <w:tcW w:w="1915" w:type="dxa"/>
            <w:tcBorders/>
            <w:vAlign w:val="center"/>
          </w:tcPr>
          <w:p>
            <w:pPr>
              <w:pStyle w:val="Normal"/>
              <w:spacing w:before="0" w:after="200"/>
              <w:jc w:val="center"/>
              <w:rPr>
                <w:sz w:val="20"/>
                <w:szCs w:val="20"/>
              </w:rPr>
            </w:pPr>
            <w:r>
              <w:rPr>
                <w:b w:val="false"/>
                <w:sz w:val="20"/>
                <w:szCs w:val="20"/>
              </w:rPr>
              <w:t>~US$31.4m</w:t>
            </w:r>
          </w:p>
        </w:tc>
        <w:tc>
          <w:tcPr>
            <w:tcW w:w="4860" w:type="dxa"/>
            <w:tcBorders/>
            <w:vAlign w:val="center"/>
          </w:tcPr>
          <w:p>
            <w:pPr>
              <w:pStyle w:val="Normal"/>
              <w:spacing w:before="0" w:after="200"/>
              <w:rPr>
                <w:sz w:val="20"/>
                <w:szCs w:val="20"/>
              </w:rPr>
            </w:pPr>
            <w:r>
              <w:rPr>
                <w:b w:val="false"/>
                <w:sz w:val="20"/>
                <w:szCs w:val="20"/>
              </w:rPr>
              <w:t>Driven by product yields and prices, not gross input tonnage</w:t>
            </w:r>
          </w:p>
        </w:tc>
      </w:tr>
      <w:tr>
        <w:trPr/>
        <w:tc>
          <w:tcPr>
            <w:tcW w:w="3389" w:type="dxa"/>
            <w:tcBorders/>
            <w:vAlign w:val="center"/>
          </w:tcPr>
          <w:p>
            <w:pPr>
              <w:pStyle w:val="Normal"/>
              <w:spacing w:before="0" w:after="200"/>
              <w:rPr>
                <w:sz w:val="20"/>
                <w:szCs w:val="20"/>
              </w:rPr>
            </w:pPr>
            <w:r>
              <w:rPr>
                <w:b w:val="false"/>
                <w:sz w:val="20"/>
                <w:szCs w:val="20"/>
              </w:rPr>
              <w:t>Variable operating cost</w:t>
            </w:r>
          </w:p>
        </w:tc>
        <w:tc>
          <w:tcPr>
            <w:tcW w:w="1915" w:type="dxa"/>
            <w:tcBorders/>
            <w:vAlign w:val="center"/>
          </w:tcPr>
          <w:p>
            <w:pPr>
              <w:pStyle w:val="Normal"/>
              <w:spacing w:before="0" w:after="200"/>
              <w:jc w:val="center"/>
              <w:rPr>
                <w:sz w:val="20"/>
                <w:szCs w:val="20"/>
              </w:rPr>
            </w:pPr>
            <w:r>
              <w:rPr>
                <w:b w:val="false"/>
                <w:sz w:val="20"/>
                <w:szCs w:val="20"/>
              </w:rPr>
              <w:t>~US$14.0m</w:t>
            </w:r>
          </w:p>
        </w:tc>
        <w:tc>
          <w:tcPr>
            <w:tcW w:w="4860" w:type="dxa"/>
            <w:tcBorders/>
            <w:vAlign w:val="center"/>
          </w:tcPr>
          <w:p>
            <w:pPr>
              <w:pStyle w:val="Normal"/>
              <w:spacing w:before="0" w:after="200"/>
              <w:rPr>
                <w:sz w:val="20"/>
                <w:szCs w:val="20"/>
              </w:rPr>
            </w:pPr>
            <w:r>
              <w:rPr>
                <w:b w:val="false"/>
                <w:sz w:val="20"/>
                <w:szCs w:val="20"/>
              </w:rPr>
              <w:t>Includes feedstock purchase and inbound logistics</w:t>
            </w:r>
          </w:p>
        </w:tc>
      </w:tr>
      <w:tr>
        <w:trPr/>
        <w:tc>
          <w:tcPr>
            <w:tcW w:w="3389" w:type="dxa"/>
            <w:tcBorders/>
            <w:vAlign w:val="center"/>
          </w:tcPr>
          <w:p>
            <w:pPr>
              <w:pStyle w:val="Normal"/>
              <w:spacing w:before="0" w:after="200"/>
              <w:rPr>
                <w:sz w:val="20"/>
                <w:szCs w:val="20"/>
              </w:rPr>
            </w:pPr>
            <w:r>
              <w:rPr>
                <w:b w:val="false"/>
                <w:sz w:val="20"/>
                <w:szCs w:val="20"/>
              </w:rPr>
              <w:t>Gross contribution</w:t>
            </w:r>
          </w:p>
        </w:tc>
        <w:tc>
          <w:tcPr>
            <w:tcW w:w="1915" w:type="dxa"/>
            <w:tcBorders/>
            <w:vAlign w:val="center"/>
          </w:tcPr>
          <w:p>
            <w:pPr>
              <w:pStyle w:val="Normal"/>
              <w:spacing w:before="0" w:after="200"/>
              <w:jc w:val="center"/>
              <w:rPr>
                <w:sz w:val="20"/>
                <w:szCs w:val="20"/>
              </w:rPr>
            </w:pPr>
            <w:r>
              <w:rPr>
                <w:b w:val="false"/>
                <w:sz w:val="20"/>
                <w:szCs w:val="20"/>
              </w:rPr>
              <w:t>~US$17.4m</w:t>
            </w:r>
          </w:p>
        </w:tc>
        <w:tc>
          <w:tcPr>
            <w:tcW w:w="4860" w:type="dxa"/>
            <w:tcBorders/>
            <w:vAlign w:val="center"/>
          </w:tcPr>
          <w:p>
            <w:pPr>
              <w:pStyle w:val="Normal"/>
              <w:spacing w:before="0" w:after="200"/>
              <w:rPr>
                <w:sz w:val="20"/>
                <w:szCs w:val="20"/>
              </w:rPr>
            </w:pPr>
            <w:r>
              <w:rPr>
                <w:b w:val="false"/>
                <w:sz w:val="20"/>
                <w:szCs w:val="20"/>
              </w:rPr>
              <w:t>Before fixed plant and corporate costs</w:t>
            </w:r>
          </w:p>
        </w:tc>
      </w:tr>
      <w:tr>
        <w:trPr/>
        <w:tc>
          <w:tcPr>
            <w:tcW w:w="3389" w:type="dxa"/>
            <w:tcBorders/>
            <w:vAlign w:val="center"/>
          </w:tcPr>
          <w:p>
            <w:pPr>
              <w:pStyle w:val="Normal"/>
              <w:spacing w:before="0" w:after="200"/>
              <w:rPr>
                <w:sz w:val="20"/>
                <w:szCs w:val="20"/>
              </w:rPr>
            </w:pPr>
            <w:r>
              <w:rPr>
                <w:b w:val="false"/>
                <w:sz w:val="20"/>
                <w:szCs w:val="20"/>
              </w:rPr>
              <w:t>Fixed OPEX / SG&amp;A</w:t>
            </w:r>
          </w:p>
        </w:tc>
        <w:tc>
          <w:tcPr>
            <w:tcW w:w="1915" w:type="dxa"/>
            <w:tcBorders/>
            <w:vAlign w:val="center"/>
          </w:tcPr>
          <w:p>
            <w:pPr>
              <w:pStyle w:val="Normal"/>
              <w:spacing w:before="0" w:after="200"/>
              <w:jc w:val="center"/>
              <w:rPr>
                <w:sz w:val="20"/>
                <w:szCs w:val="20"/>
              </w:rPr>
            </w:pPr>
            <w:r>
              <w:rPr>
                <w:b w:val="false"/>
                <w:sz w:val="20"/>
                <w:szCs w:val="20"/>
              </w:rPr>
              <w:t>~US$4.5–5.5m</w:t>
            </w:r>
          </w:p>
        </w:tc>
        <w:tc>
          <w:tcPr>
            <w:tcW w:w="4860" w:type="dxa"/>
            <w:tcBorders/>
            <w:vAlign w:val="center"/>
          </w:tcPr>
          <w:p>
            <w:pPr>
              <w:pStyle w:val="Normal"/>
              <w:spacing w:before="0" w:after="200"/>
              <w:rPr>
                <w:sz w:val="20"/>
                <w:szCs w:val="20"/>
              </w:rPr>
            </w:pPr>
            <w:r>
              <w:rPr>
                <w:b w:val="false"/>
                <w:sz w:val="20"/>
                <w:szCs w:val="20"/>
              </w:rPr>
              <w:t>Management, fixed payroll, insurance, compliance, sales and overhead</w:t>
            </w:r>
          </w:p>
        </w:tc>
      </w:tr>
      <w:tr>
        <w:trPr/>
        <w:tc>
          <w:tcPr>
            <w:tcW w:w="3389" w:type="dxa"/>
            <w:tcBorders/>
            <w:vAlign w:val="center"/>
          </w:tcPr>
          <w:p>
            <w:pPr>
              <w:pStyle w:val="Normal"/>
              <w:spacing w:before="0" w:after="200"/>
              <w:rPr>
                <w:sz w:val="20"/>
                <w:szCs w:val="20"/>
              </w:rPr>
            </w:pPr>
            <w:r>
              <w:rPr>
                <w:b w:val="false"/>
                <w:sz w:val="20"/>
                <w:szCs w:val="20"/>
              </w:rPr>
              <w:t>Target EBITDA</w:t>
            </w:r>
          </w:p>
        </w:tc>
        <w:tc>
          <w:tcPr>
            <w:tcW w:w="1915" w:type="dxa"/>
            <w:tcBorders/>
            <w:vAlign w:val="center"/>
          </w:tcPr>
          <w:p>
            <w:pPr>
              <w:pStyle w:val="Normal"/>
              <w:spacing w:before="0" w:after="200"/>
              <w:jc w:val="center"/>
              <w:rPr>
                <w:sz w:val="20"/>
                <w:szCs w:val="20"/>
              </w:rPr>
            </w:pPr>
            <w:r>
              <w:rPr>
                <w:b w:val="false"/>
                <w:sz w:val="20"/>
                <w:szCs w:val="20"/>
              </w:rPr>
              <w:t>~US$12–13m</w:t>
            </w:r>
          </w:p>
        </w:tc>
        <w:tc>
          <w:tcPr>
            <w:tcW w:w="4860" w:type="dxa"/>
            <w:tcBorders/>
            <w:vAlign w:val="center"/>
          </w:tcPr>
          <w:p>
            <w:pPr>
              <w:pStyle w:val="Normal"/>
              <w:spacing w:before="0" w:after="200"/>
              <w:rPr>
                <w:sz w:val="20"/>
                <w:szCs w:val="20"/>
              </w:rPr>
            </w:pPr>
            <w:r>
              <w:rPr>
                <w:b w:val="false"/>
                <w:sz w:val="20"/>
                <w:szCs w:val="20"/>
              </w:rPr>
              <w:t>Development target; requires feedstock/yield validation</w:t>
            </w:r>
          </w:p>
        </w:tc>
      </w:tr>
      <w:tr>
        <w:trPr/>
        <w:tc>
          <w:tcPr>
            <w:tcW w:w="3389" w:type="dxa"/>
            <w:tcBorders/>
            <w:vAlign w:val="center"/>
          </w:tcPr>
          <w:p>
            <w:pPr>
              <w:pStyle w:val="Normal"/>
              <w:spacing w:before="0" w:after="200"/>
              <w:rPr>
                <w:sz w:val="20"/>
                <w:szCs w:val="20"/>
              </w:rPr>
            </w:pPr>
            <w:r>
              <w:rPr>
                <w:b w:val="false"/>
                <w:sz w:val="20"/>
                <w:szCs w:val="20"/>
              </w:rPr>
              <w:t>Indicative core CAPEX</w:t>
            </w:r>
          </w:p>
        </w:tc>
        <w:tc>
          <w:tcPr>
            <w:tcW w:w="1915" w:type="dxa"/>
            <w:tcBorders/>
            <w:vAlign w:val="center"/>
          </w:tcPr>
          <w:p>
            <w:pPr>
              <w:pStyle w:val="Normal"/>
              <w:spacing w:before="0" w:after="200"/>
              <w:jc w:val="center"/>
              <w:rPr>
                <w:sz w:val="20"/>
                <w:szCs w:val="20"/>
              </w:rPr>
            </w:pPr>
            <w:r>
              <w:rPr>
                <w:b w:val="false"/>
                <w:sz w:val="20"/>
                <w:szCs w:val="20"/>
              </w:rPr>
              <w:t>~US$40m</w:t>
            </w:r>
          </w:p>
        </w:tc>
        <w:tc>
          <w:tcPr>
            <w:tcW w:w="4860" w:type="dxa"/>
            <w:tcBorders/>
            <w:vAlign w:val="center"/>
          </w:tcPr>
          <w:p>
            <w:pPr>
              <w:pStyle w:val="Normal"/>
              <w:spacing w:before="0" w:after="200"/>
              <w:rPr>
                <w:sz w:val="20"/>
                <w:szCs w:val="20"/>
              </w:rPr>
            </w:pPr>
            <w:r>
              <w:rPr>
                <w:b w:val="false"/>
                <w:sz w:val="20"/>
                <w:szCs w:val="20"/>
              </w:rPr>
              <w:t>Land and working-capital facilities excluded</w:t>
            </w:r>
          </w:p>
        </w:tc>
      </w:tr>
      <w:tr>
        <w:trPr/>
        <w:tc>
          <w:tcPr>
            <w:tcW w:w="3389" w:type="dxa"/>
            <w:tcBorders/>
            <w:vAlign w:val="center"/>
          </w:tcPr>
          <w:p>
            <w:pPr>
              <w:pStyle w:val="Normal"/>
              <w:spacing w:before="0" w:after="200"/>
              <w:rPr>
                <w:sz w:val="20"/>
                <w:szCs w:val="20"/>
              </w:rPr>
            </w:pPr>
            <w:r>
              <w:rPr>
                <w:b w:val="false"/>
                <w:sz w:val="20"/>
                <w:szCs w:val="20"/>
              </w:rPr>
              <w:t>Target unlevered project IRR</w:t>
            </w:r>
          </w:p>
        </w:tc>
        <w:tc>
          <w:tcPr>
            <w:tcW w:w="1915" w:type="dxa"/>
            <w:tcBorders/>
            <w:vAlign w:val="center"/>
          </w:tcPr>
          <w:p>
            <w:pPr>
              <w:pStyle w:val="Normal"/>
              <w:spacing w:before="0" w:after="200"/>
              <w:jc w:val="center"/>
              <w:rPr>
                <w:sz w:val="20"/>
                <w:szCs w:val="20"/>
              </w:rPr>
            </w:pPr>
            <w:r>
              <w:rPr>
                <w:b w:val="false"/>
                <w:sz w:val="20"/>
                <w:szCs w:val="20"/>
              </w:rPr>
              <w:t>~18–22%</w:t>
            </w:r>
          </w:p>
        </w:tc>
        <w:tc>
          <w:tcPr>
            <w:tcW w:w="4860" w:type="dxa"/>
            <w:tcBorders/>
            <w:vAlign w:val="center"/>
          </w:tcPr>
          <w:p>
            <w:pPr>
              <w:pStyle w:val="Normal"/>
              <w:spacing w:before="0" w:after="200"/>
              <w:rPr>
                <w:sz w:val="20"/>
                <w:szCs w:val="20"/>
              </w:rPr>
            </w:pPr>
            <w:r>
              <w:rPr>
                <w:b w:val="false"/>
                <w:sz w:val="20"/>
                <w:szCs w:val="20"/>
              </w:rPr>
              <w:t>Indicative development target, not guaranteed</w:t>
            </w:r>
          </w:p>
        </w:tc>
      </w:tr>
    </w:tbl>
    <w:p>
      <w:pPr>
        <w:pStyle w:val="Heading1"/>
        <w:rPr/>
      </w:pPr>
      <w:r>
        <w:rPr/>
        <w:t>7. Feedstock economics – the highest-leverage variable</w:t>
      </w:r>
    </w:p>
    <w:p>
      <w:pPr>
        <w:pStyle w:val="Normal"/>
        <w:rPr>
          <w:sz w:val="20"/>
          <w:szCs w:val="20"/>
        </w:rPr>
      </w:pPr>
      <w:r>
        <w:rPr>
          <w:sz w:val="20"/>
          <w:szCs w:val="20"/>
        </w:rPr>
        <w:t>The project should not be designed around “cheap waste.” It should be designed around predictable, segregated and nutritionally valuable resource streams.</w:t>
      </w:r>
    </w:p>
    <w:tbl>
      <w:tblPr>
        <w:tblW w:w="8741" w:type="dxa"/>
        <w:jc w:val="start"/>
        <w:tblInd w:w="739" w:type="dxa"/>
        <w:tblLayout w:type="fixed"/>
        <w:tblCellMar>
          <w:top w:w="0" w:type="dxa"/>
          <w:start w:w="108" w:type="dxa"/>
          <w:bottom w:w="0" w:type="dxa"/>
          <w:end w:w="108" w:type="dxa"/>
        </w:tblCellMar>
        <w:tblLook w:val="04a0" w:firstRow="1" w:noVBand="1" w:lastRow="0" w:firstColumn="1" w:lastColumn="0" w:noHBand="0"/>
      </w:tblPr>
      <w:tblGrid>
        <w:gridCol w:w="3252"/>
        <w:gridCol w:w="2892"/>
        <w:gridCol w:w="2597"/>
      </w:tblGrid>
      <w:tr>
        <w:trPr/>
        <w:tc>
          <w:tcPr>
            <w:tcW w:w="3252" w:type="dxa"/>
            <w:tcBorders/>
            <w:shd w:fill="194137" w:val="clear"/>
            <w:vAlign w:val="center"/>
          </w:tcPr>
          <w:p>
            <w:pPr>
              <w:pStyle w:val="Normal"/>
              <w:spacing w:before="0" w:after="200"/>
              <w:rPr>
                <w:sz w:val="20"/>
                <w:szCs w:val="20"/>
              </w:rPr>
            </w:pPr>
            <w:r>
              <w:rPr>
                <w:b/>
                <w:color w:val="FFFFFF"/>
                <w:sz w:val="20"/>
                <w:szCs w:val="20"/>
              </w:rPr>
              <w:t>Commercial arrangement</w:t>
            </w:r>
          </w:p>
        </w:tc>
        <w:tc>
          <w:tcPr>
            <w:tcW w:w="2892" w:type="dxa"/>
            <w:tcBorders/>
            <w:shd w:fill="194137" w:val="clear"/>
            <w:vAlign w:val="center"/>
          </w:tcPr>
          <w:p>
            <w:pPr>
              <w:pStyle w:val="Normal"/>
              <w:spacing w:before="0" w:after="200"/>
              <w:rPr>
                <w:sz w:val="20"/>
                <w:szCs w:val="20"/>
              </w:rPr>
            </w:pPr>
            <w:r>
              <w:rPr>
                <w:b/>
                <w:color w:val="FFFFFF"/>
                <w:sz w:val="20"/>
                <w:szCs w:val="20"/>
              </w:rPr>
              <w:t>Effective feedstock economics</w:t>
            </w:r>
          </w:p>
        </w:tc>
        <w:tc>
          <w:tcPr>
            <w:tcW w:w="2597" w:type="dxa"/>
            <w:tcBorders/>
            <w:shd w:fill="194137" w:val="clear"/>
            <w:vAlign w:val="center"/>
          </w:tcPr>
          <w:p>
            <w:pPr>
              <w:pStyle w:val="Normal"/>
              <w:spacing w:before="0" w:after="200"/>
              <w:rPr>
                <w:sz w:val="20"/>
                <w:szCs w:val="20"/>
              </w:rPr>
            </w:pPr>
            <w:r>
              <w:rPr>
                <w:b/>
                <w:color w:val="FFFFFF"/>
                <w:sz w:val="20"/>
                <w:szCs w:val="20"/>
              </w:rPr>
              <w:t>Contribution implication</w:t>
            </w:r>
          </w:p>
        </w:tc>
      </w:tr>
      <w:tr>
        <w:trPr/>
        <w:tc>
          <w:tcPr>
            <w:tcW w:w="3252" w:type="dxa"/>
            <w:tcBorders/>
            <w:vAlign w:val="center"/>
          </w:tcPr>
          <w:p>
            <w:pPr>
              <w:pStyle w:val="Normal"/>
              <w:spacing w:before="0" w:after="200"/>
              <w:rPr>
                <w:sz w:val="20"/>
                <w:szCs w:val="20"/>
              </w:rPr>
            </w:pPr>
            <w:r>
              <w:rPr>
                <w:b w:val="false"/>
                <w:sz w:val="20"/>
                <w:szCs w:val="20"/>
              </w:rPr>
              <w:t>Higher supplier payment</w:t>
            </w:r>
          </w:p>
        </w:tc>
        <w:tc>
          <w:tcPr>
            <w:tcW w:w="2892" w:type="dxa"/>
            <w:tcBorders/>
            <w:vAlign w:val="center"/>
          </w:tcPr>
          <w:p>
            <w:pPr>
              <w:pStyle w:val="Normal"/>
              <w:spacing w:before="0" w:after="200"/>
              <w:rPr>
                <w:sz w:val="20"/>
                <w:szCs w:val="20"/>
              </w:rPr>
            </w:pPr>
            <w:r>
              <w:rPr>
                <w:b w:val="false"/>
                <w:sz w:val="20"/>
                <w:szCs w:val="20"/>
              </w:rPr>
              <w:t>Project pays 500k VND/t</w:t>
            </w:r>
          </w:p>
        </w:tc>
        <w:tc>
          <w:tcPr>
            <w:tcW w:w="2597" w:type="dxa"/>
            <w:tcBorders/>
            <w:vAlign w:val="center"/>
          </w:tcPr>
          <w:p>
            <w:pPr>
              <w:pStyle w:val="Normal"/>
              <w:spacing w:before="0" w:after="200"/>
              <w:rPr>
                <w:sz w:val="20"/>
                <w:szCs w:val="20"/>
              </w:rPr>
            </w:pPr>
            <w:r>
              <w:rPr>
                <w:b w:val="false"/>
                <w:sz w:val="20"/>
                <w:szCs w:val="20"/>
              </w:rPr>
              <w:t>~1.67m VND/t contribution</w:t>
            </w:r>
          </w:p>
        </w:tc>
      </w:tr>
      <w:tr>
        <w:trPr/>
        <w:tc>
          <w:tcPr>
            <w:tcW w:w="3252" w:type="dxa"/>
            <w:tcBorders/>
            <w:vAlign w:val="center"/>
          </w:tcPr>
          <w:p>
            <w:pPr>
              <w:pStyle w:val="Normal"/>
              <w:spacing w:before="0" w:after="200"/>
              <w:rPr>
                <w:sz w:val="20"/>
                <w:szCs w:val="20"/>
              </w:rPr>
            </w:pPr>
            <w:r>
              <w:rPr>
                <w:b w:val="false"/>
                <w:sz w:val="20"/>
                <w:szCs w:val="20"/>
              </w:rPr>
              <w:t>Base case</w:t>
            </w:r>
          </w:p>
        </w:tc>
        <w:tc>
          <w:tcPr>
            <w:tcW w:w="2892" w:type="dxa"/>
            <w:tcBorders/>
            <w:vAlign w:val="center"/>
          </w:tcPr>
          <w:p>
            <w:pPr>
              <w:pStyle w:val="Normal"/>
              <w:spacing w:before="0" w:after="200"/>
              <w:rPr>
                <w:sz w:val="20"/>
                <w:szCs w:val="20"/>
              </w:rPr>
            </w:pPr>
            <w:r>
              <w:rPr>
                <w:b w:val="false"/>
                <w:sz w:val="20"/>
                <w:szCs w:val="20"/>
              </w:rPr>
              <w:t>Project pays 250k VND/t</w:t>
            </w:r>
          </w:p>
        </w:tc>
        <w:tc>
          <w:tcPr>
            <w:tcW w:w="2597" w:type="dxa"/>
            <w:tcBorders/>
            <w:vAlign w:val="center"/>
          </w:tcPr>
          <w:p>
            <w:pPr>
              <w:pStyle w:val="Normal"/>
              <w:spacing w:before="0" w:after="200"/>
              <w:rPr>
                <w:sz w:val="20"/>
                <w:szCs w:val="20"/>
              </w:rPr>
            </w:pPr>
            <w:r>
              <w:rPr>
                <w:b w:val="false"/>
                <w:sz w:val="20"/>
                <w:szCs w:val="20"/>
              </w:rPr>
              <w:t>~1.92m VND/t contribution</w:t>
            </w:r>
          </w:p>
        </w:tc>
      </w:tr>
      <w:tr>
        <w:trPr/>
        <w:tc>
          <w:tcPr>
            <w:tcW w:w="3252" w:type="dxa"/>
            <w:tcBorders/>
            <w:vAlign w:val="center"/>
          </w:tcPr>
          <w:p>
            <w:pPr>
              <w:pStyle w:val="Normal"/>
              <w:spacing w:before="0" w:after="200"/>
              <w:rPr>
                <w:sz w:val="20"/>
                <w:szCs w:val="20"/>
              </w:rPr>
            </w:pPr>
            <w:r>
              <w:rPr>
                <w:b w:val="false"/>
                <w:sz w:val="20"/>
                <w:szCs w:val="20"/>
              </w:rPr>
              <w:t>Free at source</w:t>
            </w:r>
          </w:p>
        </w:tc>
        <w:tc>
          <w:tcPr>
            <w:tcW w:w="2892" w:type="dxa"/>
            <w:tcBorders/>
            <w:vAlign w:val="center"/>
          </w:tcPr>
          <w:p>
            <w:pPr>
              <w:pStyle w:val="Normal"/>
              <w:spacing w:before="0" w:after="200"/>
              <w:rPr>
                <w:sz w:val="20"/>
                <w:szCs w:val="20"/>
              </w:rPr>
            </w:pPr>
            <w:r>
              <w:rPr>
                <w:b w:val="false"/>
                <w:sz w:val="20"/>
                <w:szCs w:val="20"/>
              </w:rPr>
              <w:t>No feedstock purchase cost</w:t>
            </w:r>
          </w:p>
        </w:tc>
        <w:tc>
          <w:tcPr>
            <w:tcW w:w="2597" w:type="dxa"/>
            <w:tcBorders/>
            <w:vAlign w:val="center"/>
          </w:tcPr>
          <w:p>
            <w:pPr>
              <w:pStyle w:val="Normal"/>
              <w:spacing w:before="0" w:after="200"/>
              <w:rPr>
                <w:sz w:val="20"/>
                <w:szCs w:val="20"/>
              </w:rPr>
            </w:pPr>
            <w:r>
              <w:rPr>
                <w:b w:val="false"/>
                <w:sz w:val="20"/>
                <w:szCs w:val="20"/>
              </w:rPr>
              <w:t>~2.17m VND/t contribution</w:t>
            </w:r>
          </w:p>
        </w:tc>
      </w:tr>
      <w:tr>
        <w:trPr/>
        <w:tc>
          <w:tcPr>
            <w:tcW w:w="3252" w:type="dxa"/>
            <w:tcBorders/>
            <w:vAlign w:val="center"/>
          </w:tcPr>
          <w:p>
            <w:pPr>
              <w:pStyle w:val="Normal"/>
              <w:spacing w:before="0" w:after="200"/>
              <w:rPr>
                <w:sz w:val="20"/>
                <w:szCs w:val="20"/>
              </w:rPr>
            </w:pPr>
            <w:r>
              <w:rPr>
                <w:b w:val="false"/>
                <w:sz w:val="20"/>
                <w:szCs w:val="20"/>
              </w:rPr>
              <w:t>Recovery service model</w:t>
            </w:r>
          </w:p>
        </w:tc>
        <w:tc>
          <w:tcPr>
            <w:tcW w:w="2892" w:type="dxa"/>
            <w:tcBorders/>
            <w:vAlign w:val="center"/>
          </w:tcPr>
          <w:p>
            <w:pPr>
              <w:pStyle w:val="Normal"/>
              <w:spacing w:before="0" w:after="200"/>
              <w:rPr>
                <w:sz w:val="20"/>
                <w:szCs w:val="20"/>
              </w:rPr>
            </w:pPr>
            <w:r>
              <w:rPr>
                <w:b w:val="false"/>
                <w:sz w:val="20"/>
                <w:szCs w:val="20"/>
              </w:rPr>
              <w:t>Supplier pays 300k VND/t service fee</w:t>
            </w:r>
          </w:p>
        </w:tc>
        <w:tc>
          <w:tcPr>
            <w:tcW w:w="2597" w:type="dxa"/>
            <w:tcBorders/>
            <w:vAlign w:val="center"/>
          </w:tcPr>
          <w:p>
            <w:pPr>
              <w:pStyle w:val="Normal"/>
              <w:spacing w:before="0" w:after="200"/>
              <w:rPr>
                <w:sz w:val="20"/>
                <w:szCs w:val="20"/>
              </w:rPr>
            </w:pPr>
            <w:r>
              <w:rPr>
                <w:b w:val="false"/>
                <w:sz w:val="20"/>
                <w:szCs w:val="20"/>
              </w:rPr>
              <w:t>~2.47m VND/t contribution</w:t>
            </w:r>
          </w:p>
        </w:tc>
      </w:tr>
    </w:tbl>
    <w:p>
      <w:pPr>
        <w:pStyle w:val="Heading1"/>
        <w:rPr/>
      </w:pPr>
      <w:r>
        <w:rPr/>
        <w:t>8. CAPEX framework – Phase I</w:t>
      </w:r>
    </w:p>
    <w:tbl>
      <w:tblPr>
        <w:tblW w:w="4332"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3252"/>
        <w:gridCol w:w="1080"/>
      </w:tblGrid>
      <w:tr>
        <w:trPr/>
        <w:tc>
          <w:tcPr>
            <w:tcW w:w="3252" w:type="dxa"/>
            <w:tcBorders/>
            <w:shd w:fill="194137" w:val="clear"/>
            <w:vAlign w:val="center"/>
          </w:tcPr>
          <w:p>
            <w:pPr>
              <w:pStyle w:val="Normal"/>
              <w:spacing w:before="0" w:after="200"/>
              <w:rPr>
                <w:sz w:val="20"/>
                <w:szCs w:val="20"/>
              </w:rPr>
            </w:pPr>
            <w:r>
              <w:rPr>
                <w:b/>
                <w:color w:val="FFFFFF"/>
                <w:sz w:val="20"/>
                <w:szCs w:val="20"/>
              </w:rPr>
              <w:t>Component</w:t>
            </w:r>
          </w:p>
        </w:tc>
        <w:tc>
          <w:tcPr>
            <w:tcW w:w="1080" w:type="dxa"/>
            <w:tcBorders/>
            <w:shd w:fill="194137" w:val="clear"/>
            <w:vAlign w:val="center"/>
          </w:tcPr>
          <w:p>
            <w:pPr>
              <w:pStyle w:val="Normal"/>
              <w:spacing w:before="0" w:after="200"/>
              <w:rPr>
                <w:sz w:val="20"/>
                <w:szCs w:val="20"/>
              </w:rPr>
            </w:pPr>
            <w:r>
              <w:rPr>
                <w:b/>
                <w:color w:val="FFFFFF"/>
                <w:sz w:val="20"/>
                <w:szCs w:val="20"/>
              </w:rPr>
              <w:t>US$m</w:t>
            </w:r>
          </w:p>
        </w:tc>
      </w:tr>
      <w:tr>
        <w:trPr/>
        <w:tc>
          <w:tcPr>
            <w:tcW w:w="3252" w:type="dxa"/>
            <w:tcBorders/>
            <w:vAlign w:val="center"/>
          </w:tcPr>
          <w:p>
            <w:pPr>
              <w:pStyle w:val="Normal"/>
              <w:spacing w:before="0" w:after="200"/>
              <w:rPr>
                <w:sz w:val="20"/>
                <w:szCs w:val="20"/>
              </w:rPr>
            </w:pPr>
            <w:r>
              <w:rPr>
                <w:b w:val="false"/>
                <w:sz w:val="20"/>
                <w:szCs w:val="20"/>
              </w:rPr>
              <w:t>Site &amp; civil infrastructure</w:t>
            </w:r>
          </w:p>
        </w:tc>
        <w:tc>
          <w:tcPr>
            <w:tcW w:w="1080" w:type="dxa"/>
            <w:tcBorders/>
            <w:vAlign w:val="center"/>
          </w:tcPr>
          <w:p>
            <w:pPr>
              <w:pStyle w:val="Normal"/>
              <w:spacing w:before="0" w:after="200"/>
              <w:rPr>
                <w:sz w:val="20"/>
                <w:szCs w:val="20"/>
              </w:rPr>
            </w:pPr>
            <w:r>
              <w:rPr>
                <w:b w:val="false"/>
                <w:sz w:val="20"/>
                <w:szCs w:val="20"/>
              </w:rPr>
              <w:t>3.0</w:t>
            </w:r>
          </w:p>
        </w:tc>
      </w:tr>
      <w:tr>
        <w:trPr/>
        <w:tc>
          <w:tcPr>
            <w:tcW w:w="3252" w:type="dxa"/>
            <w:tcBorders/>
            <w:vAlign w:val="center"/>
          </w:tcPr>
          <w:p>
            <w:pPr>
              <w:pStyle w:val="Normal"/>
              <w:spacing w:before="0" w:after="200"/>
              <w:rPr>
                <w:sz w:val="20"/>
                <w:szCs w:val="20"/>
              </w:rPr>
            </w:pPr>
            <w:r>
              <w:rPr>
                <w:b w:val="false"/>
                <w:sz w:val="20"/>
                <w:szCs w:val="20"/>
              </w:rPr>
              <w:t>Receiving / sorting / de-packaging</w:t>
            </w:r>
          </w:p>
        </w:tc>
        <w:tc>
          <w:tcPr>
            <w:tcW w:w="1080" w:type="dxa"/>
            <w:tcBorders/>
            <w:vAlign w:val="center"/>
          </w:tcPr>
          <w:p>
            <w:pPr>
              <w:pStyle w:val="Normal"/>
              <w:spacing w:before="0" w:after="200"/>
              <w:rPr>
                <w:sz w:val="20"/>
                <w:szCs w:val="20"/>
              </w:rPr>
            </w:pPr>
            <w:r>
              <w:rPr>
                <w:b w:val="false"/>
                <w:sz w:val="20"/>
                <w:szCs w:val="20"/>
              </w:rPr>
              <w:t>4.0</w:t>
            </w:r>
          </w:p>
        </w:tc>
      </w:tr>
      <w:tr>
        <w:trPr/>
        <w:tc>
          <w:tcPr>
            <w:tcW w:w="3252" w:type="dxa"/>
            <w:tcBorders/>
            <w:vAlign w:val="center"/>
          </w:tcPr>
          <w:p>
            <w:pPr>
              <w:pStyle w:val="Normal"/>
              <w:spacing w:before="0" w:after="200"/>
              <w:rPr>
                <w:sz w:val="20"/>
                <w:szCs w:val="20"/>
              </w:rPr>
            </w:pPr>
            <w:r>
              <w:rPr>
                <w:b w:val="false"/>
                <w:sz w:val="20"/>
                <w:szCs w:val="20"/>
              </w:rPr>
              <w:t>Food-resource processing</w:t>
            </w:r>
          </w:p>
        </w:tc>
        <w:tc>
          <w:tcPr>
            <w:tcW w:w="1080" w:type="dxa"/>
            <w:tcBorders/>
            <w:vAlign w:val="center"/>
          </w:tcPr>
          <w:p>
            <w:pPr>
              <w:pStyle w:val="Normal"/>
              <w:spacing w:before="0" w:after="200"/>
              <w:rPr>
                <w:sz w:val="20"/>
                <w:szCs w:val="20"/>
              </w:rPr>
            </w:pPr>
            <w:r>
              <w:rPr>
                <w:b w:val="false"/>
                <w:sz w:val="20"/>
                <w:szCs w:val="20"/>
              </w:rPr>
              <w:t>6.0</w:t>
            </w:r>
          </w:p>
        </w:tc>
      </w:tr>
      <w:tr>
        <w:trPr/>
        <w:tc>
          <w:tcPr>
            <w:tcW w:w="3252" w:type="dxa"/>
            <w:tcBorders/>
            <w:vAlign w:val="center"/>
          </w:tcPr>
          <w:p>
            <w:pPr>
              <w:pStyle w:val="Normal"/>
              <w:spacing w:before="0" w:after="200"/>
              <w:rPr>
                <w:sz w:val="20"/>
                <w:szCs w:val="20"/>
              </w:rPr>
            </w:pPr>
            <w:r>
              <w:rPr>
                <w:b w:val="false"/>
                <w:sz w:val="20"/>
                <w:szCs w:val="20"/>
              </w:rPr>
              <w:t>Drying &amp; thermal systems</w:t>
            </w:r>
          </w:p>
        </w:tc>
        <w:tc>
          <w:tcPr>
            <w:tcW w:w="1080" w:type="dxa"/>
            <w:tcBorders/>
            <w:vAlign w:val="center"/>
          </w:tcPr>
          <w:p>
            <w:pPr>
              <w:pStyle w:val="Normal"/>
              <w:spacing w:before="0" w:after="200"/>
              <w:rPr>
                <w:sz w:val="20"/>
                <w:szCs w:val="20"/>
              </w:rPr>
            </w:pPr>
            <w:r>
              <w:rPr>
                <w:b w:val="false"/>
                <w:sz w:val="20"/>
                <w:szCs w:val="20"/>
              </w:rPr>
              <w:t>4.5</w:t>
            </w:r>
          </w:p>
        </w:tc>
      </w:tr>
      <w:tr>
        <w:trPr/>
        <w:tc>
          <w:tcPr>
            <w:tcW w:w="3252" w:type="dxa"/>
            <w:tcBorders/>
            <w:vAlign w:val="center"/>
          </w:tcPr>
          <w:p>
            <w:pPr>
              <w:pStyle w:val="Normal"/>
              <w:spacing w:before="0" w:after="200"/>
              <w:rPr>
                <w:sz w:val="20"/>
                <w:szCs w:val="20"/>
              </w:rPr>
            </w:pPr>
            <w:r>
              <w:rPr>
                <w:b w:val="false"/>
                <w:sz w:val="20"/>
                <w:szCs w:val="20"/>
              </w:rPr>
              <w:t>Feed production systems</w:t>
            </w:r>
          </w:p>
        </w:tc>
        <w:tc>
          <w:tcPr>
            <w:tcW w:w="1080" w:type="dxa"/>
            <w:tcBorders/>
            <w:vAlign w:val="center"/>
          </w:tcPr>
          <w:p>
            <w:pPr>
              <w:pStyle w:val="Normal"/>
              <w:spacing w:before="0" w:after="200"/>
              <w:rPr>
                <w:sz w:val="20"/>
                <w:szCs w:val="20"/>
              </w:rPr>
            </w:pPr>
            <w:r>
              <w:rPr>
                <w:b w:val="false"/>
                <w:sz w:val="20"/>
                <w:szCs w:val="20"/>
              </w:rPr>
              <w:t>5.0</w:t>
            </w:r>
          </w:p>
        </w:tc>
      </w:tr>
      <w:tr>
        <w:trPr/>
        <w:tc>
          <w:tcPr>
            <w:tcW w:w="3252" w:type="dxa"/>
            <w:tcBorders/>
            <w:vAlign w:val="center"/>
          </w:tcPr>
          <w:p>
            <w:pPr>
              <w:pStyle w:val="Normal"/>
              <w:spacing w:before="0" w:after="200"/>
              <w:rPr>
                <w:sz w:val="20"/>
                <w:szCs w:val="20"/>
              </w:rPr>
            </w:pPr>
            <w:r>
              <w:rPr>
                <w:b w:val="false"/>
                <w:sz w:val="20"/>
                <w:szCs w:val="20"/>
              </w:rPr>
              <w:t>Organic fertilizer line</w:t>
            </w:r>
          </w:p>
        </w:tc>
        <w:tc>
          <w:tcPr>
            <w:tcW w:w="1080" w:type="dxa"/>
            <w:tcBorders/>
            <w:vAlign w:val="center"/>
          </w:tcPr>
          <w:p>
            <w:pPr>
              <w:pStyle w:val="Normal"/>
              <w:spacing w:before="0" w:after="200"/>
              <w:rPr>
                <w:sz w:val="20"/>
                <w:szCs w:val="20"/>
              </w:rPr>
            </w:pPr>
            <w:r>
              <w:rPr>
                <w:b w:val="false"/>
                <w:sz w:val="20"/>
                <w:szCs w:val="20"/>
              </w:rPr>
              <w:t>2.5</w:t>
            </w:r>
          </w:p>
        </w:tc>
      </w:tr>
      <w:tr>
        <w:trPr/>
        <w:tc>
          <w:tcPr>
            <w:tcW w:w="3252" w:type="dxa"/>
            <w:tcBorders/>
            <w:vAlign w:val="center"/>
          </w:tcPr>
          <w:p>
            <w:pPr>
              <w:pStyle w:val="Normal"/>
              <w:spacing w:before="0" w:after="200"/>
              <w:rPr>
                <w:sz w:val="20"/>
                <w:szCs w:val="20"/>
              </w:rPr>
            </w:pPr>
            <w:r>
              <w:rPr>
                <w:b w:val="false"/>
                <w:sz w:val="20"/>
                <w:szCs w:val="20"/>
              </w:rPr>
              <w:t>Warehouses / buildings</w:t>
            </w:r>
          </w:p>
        </w:tc>
        <w:tc>
          <w:tcPr>
            <w:tcW w:w="1080" w:type="dxa"/>
            <w:tcBorders/>
            <w:vAlign w:val="center"/>
          </w:tcPr>
          <w:p>
            <w:pPr>
              <w:pStyle w:val="Normal"/>
              <w:spacing w:before="0" w:after="200"/>
              <w:rPr>
                <w:sz w:val="20"/>
                <w:szCs w:val="20"/>
              </w:rPr>
            </w:pPr>
            <w:r>
              <w:rPr>
                <w:b w:val="false"/>
                <w:sz w:val="20"/>
                <w:szCs w:val="20"/>
              </w:rPr>
              <w:t>4.0</w:t>
            </w:r>
          </w:p>
        </w:tc>
      </w:tr>
      <w:tr>
        <w:trPr/>
        <w:tc>
          <w:tcPr>
            <w:tcW w:w="3252" w:type="dxa"/>
            <w:tcBorders/>
            <w:vAlign w:val="center"/>
          </w:tcPr>
          <w:p>
            <w:pPr>
              <w:pStyle w:val="Normal"/>
              <w:spacing w:before="0" w:after="200"/>
              <w:rPr>
                <w:sz w:val="20"/>
                <w:szCs w:val="20"/>
              </w:rPr>
            </w:pPr>
            <w:r>
              <w:rPr>
                <w:b w:val="false"/>
                <w:sz w:val="20"/>
                <w:szCs w:val="20"/>
              </w:rPr>
              <w:t>Environmental / wastewater / odour</w:t>
            </w:r>
          </w:p>
        </w:tc>
        <w:tc>
          <w:tcPr>
            <w:tcW w:w="1080" w:type="dxa"/>
            <w:tcBorders/>
            <w:vAlign w:val="center"/>
          </w:tcPr>
          <w:p>
            <w:pPr>
              <w:pStyle w:val="Normal"/>
              <w:spacing w:before="0" w:after="200"/>
              <w:rPr>
                <w:sz w:val="20"/>
                <w:szCs w:val="20"/>
              </w:rPr>
            </w:pPr>
            <w:r>
              <w:rPr>
                <w:b w:val="false"/>
                <w:sz w:val="20"/>
                <w:szCs w:val="20"/>
              </w:rPr>
              <w:t>3.0</w:t>
            </w:r>
          </w:p>
        </w:tc>
      </w:tr>
      <w:tr>
        <w:trPr/>
        <w:tc>
          <w:tcPr>
            <w:tcW w:w="3252" w:type="dxa"/>
            <w:tcBorders/>
            <w:vAlign w:val="center"/>
          </w:tcPr>
          <w:p>
            <w:pPr>
              <w:pStyle w:val="Normal"/>
              <w:spacing w:before="0" w:after="200"/>
              <w:rPr>
                <w:sz w:val="20"/>
                <w:szCs w:val="20"/>
              </w:rPr>
            </w:pPr>
            <w:r>
              <w:rPr>
                <w:b w:val="false"/>
                <w:sz w:val="20"/>
                <w:szCs w:val="20"/>
              </w:rPr>
              <w:t>Utilities &amp; energy systems</w:t>
            </w:r>
          </w:p>
        </w:tc>
        <w:tc>
          <w:tcPr>
            <w:tcW w:w="1080" w:type="dxa"/>
            <w:tcBorders/>
            <w:vAlign w:val="center"/>
          </w:tcPr>
          <w:p>
            <w:pPr>
              <w:pStyle w:val="Normal"/>
              <w:spacing w:before="0" w:after="200"/>
              <w:rPr>
                <w:sz w:val="20"/>
                <w:szCs w:val="20"/>
              </w:rPr>
            </w:pPr>
            <w:r>
              <w:rPr>
                <w:b w:val="false"/>
                <w:sz w:val="20"/>
                <w:szCs w:val="20"/>
              </w:rPr>
              <w:t>2.5</w:t>
            </w:r>
          </w:p>
        </w:tc>
      </w:tr>
      <w:tr>
        <w:trPr/>
        <w:tc>
          <w:tcPr>
            <w:tcW w:w="3252" w:type="dxa"/>
            <w:tcBorders/>
            <w:vAlign w:val="center"/>
          </w:tcPr>
          <w:p>
            <w:pPr>
              <w:pStyle w:val="Normal"/>
              <w:spacing w:before="0" w:after="200"/>
              <w:rPr>
                <w:sz w:val="20"/>
                <w:szCs w:val="20"/>
              </w:rPr>
            </w:pPr>
            <w:r>
              <w:rPr>
                <w:b w:val="false"/>
                <w:sz w:val="20"/>
                <w:szCs w:val="20"/>
              </w:rPr>
              <w:t>Laboratory / QA / traceability</w:t>
            </w:r>
          </w:p>
        </w:tc>
        <w:tc>
          <w:tcPr>
            <w:tcW w:w="1080" w:type="dxa"/>
            <w:tcBorders/>
            <w:vAlign w:val="center"/>
          </w:tcPr>
          <w:p>
            <w:pPr>
              <w:pStyle w:val="Normal"/>
              <w:spacing w:before="0" w:after="200"/>
              <w:rPr>
                <w:sz w:val="20"/>
                <w:szCs w:val="20"/>
              </w:rPr>
            </w:pPr>
            <w:r>
              <w:rPr>
                <w:b w:val="false"/>
                <w:sz w:val="20"/>
                <w:szCs w:val="20"/>
              </w:rPr>
              <w:t>0.8</w:t>
            </w:r>
          </w:p>
        </w:tc>
      </w:tr>
      <w:tr>
        <w:trPr/>
        <w:tc>
          <w:tcPr>
            <w:tcW w:w="3252" w:type="dxa"/>
            <w:tcBorders/>
            <w:vAlign w:val="center"/>
          </w:tcPr>
          <w:p>
            <w:pPr>
              <w:pStyle w:val="Normal"/>
              <w:spacing w:before="0" w:after="200"/>
              <w:rPr>
                <w:sz w:val="20"/>
                <w:szCs w:val="20"/>
              </w:rPr>
            </w:pPr>
            <w:r>
              <w:rPr>
                <w:b w:val="false"/>
                <w:sz w:val="20"/>
                <w:szCs w:val="20"/>
              </w:rPr>
              <w:t>Engineering / installation</w:t>
            </w:r>
          </w:p>
        </w:tc>
        <w:tc>
          <w:tcPr>
            <w:tcW w:w="1080" w:type="dxa"/>
            <w:tcBorders/>
            <w:vAlign w:val="center"/>
          </w:tcPr>
          <w:p>
            <w:pPr>
              <w:pStyle w:val="Normal"/>
              <w:spacing w:before="0" w:after="200"/>
              <w:rPr>
                <w:sz w:val="20"/>
                <w:szCs w:val="20"/>
              </w:rPr>
            </w:pPr>
            <w:r>
              <w:rPr>
                <w:b w:val="false"/>
                <w:sz w:val="20"/>
                <w:szCs w:val="20"/>
              </w:rPr>
              <w:t>2.0</w:t>
            </w:r>
          </w:p>
        </w:tc>
      </w:tr>
      <w:tr>
        <w:trPr/>
        <w:tc>
          <w:tcPr>
            <w:tcW w:w="3252" w:type="dxa"/>
            <w:tcBorders/>
            <w:vAlign w:val="center"/>
          </w:tcPr>
          <w:p>
            <w:pPr>
              <w:pStyle w:val="Normal"/>
              <w:spacing w:before="0" w:after="200"/>
              <w:rPr>
                <w:sz w:val="20"/>
                <w:szCs w:val="20"/>
              </w:rPr>
            </w:pPr>
            <w:r>
              <w:rPr>
                <w:b w:val="false"/>
                <w:sz w:val="20"/>
                <w:szCs w:val="20"/>
              </w:rPr>
              <w:t>Contingency &amp; commissioning</w:t>
            </w:r>
          </w:p>
        </w:tc>
        <w:tc>
          <w:tcPr>
            <w:tcW w:w="1080" w:type="dxa"/>
            <w:tcBorders/>
            <w:vAlign w:val="center"/>
          </w:tcPr>
          <w:p>
            <w:pPr>
              <w:pStyle w:val="Normal"/>
              <w:spacing w:before="0" w:after="200"/>
              <w:rPr>
                <w:sz w:val="20"/>
                <w:szCs w:val="20"/>
              </w:rPr>
            </w:pPr>
            <w:r>
              <w:rPr>
                <w:b w:val="false"/>
                <w:sz w:val="20"/>
                <w:szCs w:val="20"/>
              </w:rPr>
              <w:t>2.7</w:t>
            </w:r>
          </w:p>
        </w:tc>
      </w:tr>
      <w:tr>
        <w:trPr/>
        <w:tc>
          <w:tcPr>
            <w:tcW w:w="3252" w:type="dxa"/>
            <w:tcBorders/>
            <w:shd w:fill="EAF2ED" w:val="clear"/>
            <w:vAlign w:val="center"/>
          </w:tcPr>
          <w:p>
            <w:pPr>
              <w:pStyle w:val="Normal"/>
              <w:spacing w:before="0" w:after="200"/>
              <w:rPr>
                <w:sz w:val="20"/>
                <w:szCs w:val="20"/>
              </w:rPr>
            </w:pPr>
            <w:r>
              <w:rPr>
                <w:b/>
                <w:sz w:val="20"/>
                <w:szCs w:val="20"/>
              </w:rPr>
              <w:t>TOTAL CORE CAPEX</w:t>
            </w:r>
          </w:p>
        </w:tc>
        <w:tc>
          <w:tcPr>
            <w:tcW w:w="1080" w:type="dxa"/>
            <w:tcBorders/>
            <w:shd w:fill="EAF2ED" w:val="clear"/>
            <w:vAlign w:val="center"/>
          </w:tcPr>
          <w:p>
            <w:pPr>
              <w:pStyle w:val="Normal"/>
              <w:spacing w:before="0" w:after="200"/>
              <w:rPr>
                <w:sz w:val="20"/>
                <w:szCs w:val="20"/>
              </w:rPr>
            </w:pPr>
            <w:r>
              <w:rPr>
                <w:b/>
                <w:sz w:val="20"/>
                <w:szCs w:val="20"/>
              </w:rPr>
              <w:t>40.0</w:t>
            </w:r>
          </w:p>
        </w:tc>
      </w:tr>
    </w:tbl>
    <w:p>
      <w:pPr>
        <w:pStyle w:val="Heading1"/>
        <w:rPr/>
      </w:pPr>
      <w:r>
        <w:rPr/>
        <w:t>9. Investor diligence priorities</w:t>
      </w:r>
    </w:p>
    <w:p>
      <w:pPr>
        <w:pStyle w:val="ListBullet"/>
        <w:numPr>
          <w:ilvl w:val="0"/>
          <w:numId w:val="1"/>
        </w:numPr>
        <w:rPr>
          <w:sz w:val="20"/>
          <w:szCs w:val="20"/>
        </w:rPr>
      </w:pPr>
      <w:r>
        <w:rPr>
          <w:sz w:val="20"/>
          <w:szCs w:val="20"/>
        </w:rPr>
        <w:t>Signed or bankable feedstock supply contracts: tonnes, source mix, quality specification, collection radius and commercial terms.</w:t>
      </w:r>
    </w:p>
    <w:p>
      <w:pPr>
        <w:pStyle w:val="ListBullet"/>
        <w:numPr>
          <w:ilvl w:val="0"/>
          <w:numId w:val="1"/>
        </w:numPr>
        <w:rPr>
          <w:sz w:val="20"/>
          <w:szCs w:val="20"/>
        </w:rPr>
      </w:pPr>
      <w:r>
        <w:rPr>
          <w:sz w:val="20"/>
          <w:szCs w:val="20"/>
        </w:rPr>
        <w:t>Dry matter, nutrient profile and contamination variability by source; laboratory and pilot evidence for conversion yield.</w:t>
      </w:r>
    </w:p>
    <w:p>
      <w:pPr>
        <w:pStyle w:val="ListBullet"/>
        <w:numPr>
          <w:ilvl w:val="0"/>
          <w:numId w:val="1"/>
        </w:numPr>
        <w:rPr>
          <w:sz w:val="20"/>
          <w:szCs w:val="20"/>
        </w:rPr>
      </w:pPr>
      <w:r>
        <w:rPr>
          <w:sz w:val="20"/>
          <w:szCs w:val="20"/>
        </w:rPr>
        <w:t>Legal/regulatory pathway for each feedstock category and each finished feed/fertilizer product in Vietnam.</w:t>
      </w:r>
    </w:p>
    <w:p>
      <w:pPr>
        <w:pStyle w:val="ListBullet"/>
        <w:numPr>
          <w:ilvl w:val="0"/>
          <w:numId w:val="1"/>
        </w:numPr>
        <w:rPr>
          <w:sz w:val="20"/>
          <w:szCs w:val="20"/>
        </w:rPr>
      </w:pPr>
      <w:r>
        <w:rPr>
          <w:sz w:val="20"/>
          <w:szCs w:val="20"/>
        </w:rPr>
        <w:t>Energy balance: kWh and thermal energy per tonne, especially for wet streams; heat-recovery opportunities.</w:t>
      </w:r>
    </w:p>
    <w:p>
      <w:pPr>
        <w:pStyle w:val="ListBullet"/>
        <w:numPr>
          <w:ilvl w:val="0"/>
          <w:numId w:val="1"/>
        </w:numPr>
        <w:rPr>
          <w:sz w:val="20"/>
          <w:szCs w:val="20"/>
        </w:rPr>
      </w:pPr>
      <w:r>
        <w:rPr>
          <w:sz w:val="20"/>
          <w:szCs w:val="20"/>
        </w:rPr>
        <w:t>Product validation: nutrient specification, inclusion rates, animal performance, shelf life and customer acceptance.</w:t>
      </w:r>
    </w:p>
    <w:p>
      <w:pPr>
        <w:pStyle w:val="ListBullet"/>
        <w:numPr>
          <w:ilvl w:val="0"/>
          <w:numId w:val="1"/>
        </w:numPr>
        <w:rPr>
          <w:sz w:val="20"/>
          <w:szCs w:val="20"/>
        </w:rPr>
      </w:pPr>
      <w:r>
        <w:rPr>
          <w:sz w:val="20"/>
          <w:szCs w:val="20"/>
        </w:rPr>
        <w:t>Offtake evidence: feed mills, integrators, farms, fertilizer distributors and plantations.</w:t>
      </w:r>
    </w:p>
    <w:p>
      <w:pPr>
        <w:pStyle w:val="ListBullet"/>
        <w:numPr>
          <w:ilvl w:val="0"/>
          <w:numId w:val="1"/>
        </w:numPr>
        <w:rPr>
          <w:sz w:val="20"/>
          <w:szCs w:val="20"/>
        </w:rPr>
      </w:pPr>
      <w:r>
        <w:rPr>
          <w:sz w:val="20"/>
          <w:szCs w:val="20"/>
        </w:rPr>
        <w:t>Logistics density: route design, collection frequency, backhaul, container hygiene and source segregation.</w:t>
      </w:r>
    </w:p>
    <w:p>
      <w:pPr>
        <w:pStyle w:val="ListBullet"/>
        <w:numPr>
          <w:ilvl w:val="0"/>
          <w:numId w:val="1"/>
        </w:numPr>
        <w:rPr>
          <w:sz w:val="20"/>
          <w:szCs w:val="20"/>
        </w:rPr>
      </w:pPr>
      <w:r>
        <w:rPr>
          <w:sz w:val="20"/>
          <w:szCs w:val="20"/>
        </w:rPr>
        <w:t>Working capital: supplier/customer terms, finished-goods inventory, receivables and debt facilities.</w:t>
      </w:r>
    </w:p>
    <w:p>
      <w:pPr>
        <w:pStyle w:val="Heading1"/>
        <w:rPr/>
      </w:pPr>
      <w:r>
        <w:rPr/>
        <w:t>10. Development strategy</w:t>
      </w:r>
    </w:p>
    <w:p>
      <w:pPr>
        <w:pStyle w:val="Normal"/>
        <w:rPr>
          <w:sz w:val="20"/>
          <w:szCs w:val="20"/>
        </w:rPr>
      </w:pPr>
      <w:r>
        <w:rPr>
          <w:b/>
          <w:sz w:val="20"/>
          <w:szCs w:val="20"/>
        </w:rPr>
        <w:t xml:space="preserve">Phase I should be built around contracted feedstock, not theoretical regional waste volumes. </w:t>
      </w:r>
      <w:r>
        <w:rPr>
          <w:sz w:val="20"/>
          <w:szCs w:val="20"/>
        </w:rPr>
        <w:t>The 10-ha site provides room for expansion, but initial equipment sizing should follow demonstrated supply and offtake. Higher-value fermentation, aquaculture products, additional feed capacity and advanced nutrient recovery should be Phase II/III modules after the core conversion economics are proven.</w:t>
      </w:r>
    </w:p>
    <w:p>
      <w:pPr>
        <w:pStyle w:val="Heading1"/>
        <w:rPr/>
      </w:pPr>
      <w:r>
        <w:rPr/>
        <w:t>11. Market references &amp; modeling basis</w:t>
      </w:r>
    </w:p>
    <w:tbl>
      <w:tblPr>
        <w:tblW w:w="10167"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3389"/>
        <w:gridCol w:w="3389"/>
        <w:gridCol w:w="3389"/>
      </w:tblGrid>
      <w:tr>
        <w:trPr/>
        <w:tc>
          <w:tcPr>
            <w:tcW w:w="3389" w:type="dxa"/>
            <w:tcBorders/>
            <w:shd w:fill="194137" w:val="clear"/>
            <w:vAlign w:val="center"/>
          </w:tcPr>
          <w:p>
            <w:pPr>
              <w:pStyle w:val="Normal"/>
              <w:spacing w:before="0" w:after="200"/>
              <w:rPr>
                <w:sz w:val="20"/>
                <w:szCs w:val="20"/>
              </w:rPr>
            </w:pPr>
            <w:r>
              <w:rPr>
                <w:b/>
                <w:color w:val="FFFFFF"/>
                <w:sz w:val="20"/>
                <w:szCs w:val="20"/>
              </w:rPr>
              <w:t>Use</w:t>
            </w:r>
          </w:p>
        </w:tc>
        <w:tc>
          <w:tcPr>
            <w:tcW w:w="3389" w:type="dxa"/>
            <w:tcBorders/>
            <w:shd w:fill="194137" w:val="clear"/>
            <w:vAlign w:val="center"/>
          </w:tcPr>
          <w:p>
            <w:pPr>
              <w:pStyle w:val="Normal"/>
              <w:spacing w:before="0" w:after="200"/>
              <w:rPr>
                <w:sz w:val="20"/>
                <w:szCs w:val="20"/>
              </w:rPr>
            </w:pPr>
            <w:r>
              <w:rPr>
                <w:b/>
                <w:color w:val="FFFFFF"/>
                <w:sz w:val="20"/>
                <w:szCs w:val="20"/>
              </w:rPr>
              <w:t>Reference</w:t>
            </w:r>
          </w:p>
        </w:tc>
        <w:tc>
          <w:tcPr>
            <w:tcW w:w="3389" w:type="dxa"/>
            <w:tcBorders/>
            <w:shd w:fill="194137" w:val="clear"/>
            <w:vAlign w:val="center"/>
          </w:tcPr>
          <w:p>
            <w:pPr>
              <w:pStyle w:val="Normal"/>
              <w:spacing w:before="0" w:after="200"/>
              <w:rPr>
                <w:sz w:val="20"/>
                <w:szCs w:val="20"/>
              </w:rPr>
            </w:pPr>
            <w:r>
              <w:rPr>
                <w:b/>
                <w:color w:val="FFFFFF"/>
                <w:sz w:val="20"/>
                <w:szCs w:val="20"/>
              </w:rPr>
              <w:t>URL</w:t>
            </w:r>
          </w:p>
        </w:tc>
      </w:tr>
      <w:tr>
        <w:trPr/>
        <w:tc>
          <w:tcPr>
            <w:tcW w:w="3389" w:type="dxa"/>
            <w:tcBorders/>
            <w:vAlign w:val="center"/>
          </w:tcPr>
          <w:p>
            <w:pPr>
              <w:pStyle w:val="Normal"/>
              <w:spacing w:before="0" w:after="200"/>
              <w:rPr>
                <w:sz w:val="20"/>
                <w:szCs w:val="20"/>
              </w:rPr>
            </w:pPr>
            <w:r>
              <w:rPr>
                <w:b w:val="false"/>
                <w:sz w:val="20"/>
                <w:szCs w:val="20"/>
              </w:rPr>
              <w:t>Former foodstuff nutrition / ~88% dry-matter reference</w:t>
            </w:r>
          </w:p>
        </w:tc>
        <w:tc>
          <w:tcPr>
            <w:tcW w:w="3389" w:type="dxa"/>
            <w:tcBorders/>
            <w:vAlign w:val="center"/>
          </w:tcPr>
          <w:p>
            <w:pPr>
              <w:pStyle w:val="Normal"/>
              <w:spacing w:before="0" w:after="200"/>
              <w:rPr>
                <w:sz w:val="20"/>
                <w:szCs w:val="20"/>
              </w:rPr>
            </w:pPr>
            <w:r>
              <w:rPr>
                <w:b w:val="false"/>
                <w:sz w:val="20"/>
                <w:szCs w:val="20"/>
              </w:rPr>
              <w:t>European Former Foodstuff Processing Association (EFFPA) – Animal Nutrition</w:t>
            </w:r>
          </w:p>
        </w:tc>
        <w:tc>
          <w:tcPr>
            <w:tcW w:w="3389" w:type="dxa"/>
            <w:tcBorders/>
            <w:vAlign w:val="center"/>
          </w:tcPr>
          <w:p>
            <w:pPr>
              <w:pStyle w:val="Normal"/>
              <w:spacing w:before="0" w:after="200"/>
              <w:rPr>
                <w:sz w:val="20"/>
                <w:szCs w:val="20"/>
              </w:rPr>
            </w:pPr>
            <w:r>
              <w:rPr>
                <w:b w:val="false"/>
                <w:sz w:val="20"/>
                <w:szCs w:val="20"/>
              </w:rPr>
              <w:t>https://effpa.eu/our-focuses/animal-nutrition/</w:t>
            </w:r>
          </w:p>
        </w:tc>
      </w:tr>
      <w:tr>
        <w:trPr/>
        <w:tc>
          <w:tcPr>
            <w:tcW w:w="3389" w:type="dxa"/>
            <w:tcBorders/>
            <w:vAlign w:val="center"/>
          </w:tcPr>
          <w:p>
            <w:pPr>
              <w:pStyle w:val="Normal"/>
              <w:spacing w:before="0" w:after="200"/>
              <w:rPr>
                <w:sz w:val="20"/>
                <w:szCs w:val="20"/>
              </w:rPr>
            </w:pPr>
            <w:r>
              <w:rPr>
                <w:b w:val="false"/>
                <w:sz w:val="20"/>
                <w:szCs w:val="20"/>
              </w:rPr>
              <w:t>Definition, sourcing and de-packaging practices</w:t>
            </w:r>
          </w:p>
        </w:tc>
        <w:tc>
          <w:tcPr>
            <w:tcW w:w="3389" w:type="dxa"/>
            <w:tcBorders/>
            <w:vAlign w:val="center"/>
          </w:tcPr>
          <w:p>
            <w:pPr>
              <w:pStyle w:val="Normal"/>
              <w:spacing w:before="0" w:after="200"/>
              <w:rPr>
                <w:sz w:val="20"/>
                <w:szCs w:val="20"/>
              </w:rPr>
            </w:pPr>
            <w:r>
              <w:rPr>
                <w:b w:val="false"/>
                <w:sz w:val="20"/>
                <w:szCs w:val="20"/>
              </w:rPr>
              <w:t>EFFPA – About Former Foodstuff Processing</w:t>
            </w:r>
          </w:p>
        </w:tc>
        <w:tc>
          <w:tcPr>
            <w:tcW w:w="3389" w:type="dxa"/>
            <w:tcBorders/>
            <w:vAlign w:val="center"/>
          </w:tcPr>
          <w:p>
            <w:pPr>
              <w:pStyle w:val="Normal"/>
              <w:spacing w:before="0" w:after="200"/>
              <w:rPr>
                <w:sz w:val="20"/>
                <w:szCs w:val="20"/>
              </w:rPr>
            </w:pPr>
            <w:r>
              <w:rPr>
                <w:b w:val="false"/>
                <w:sz w:val="20"/>
                <w:szCs w:val="20"/>
              </w:rPr>
              <w:t>https://effpa.eu/about-former-foodstuff-processing/</w:t>
            </w:r>
          </w:p>
        </w:tc>
      </w:tr>
      <w:tr>
        <w:trPr/>
        <w:tc>
          <w:tcPr>
            <w:tcW w:w="3389" w:type="dxa"/>
            <w:tcBorders/>
            <w:vAlign w:val="center"/>
          </w:tcPr>
          <w:p>
            <w:pPr>
              <w:pStyle w:val="Normal"/>
              <w:spacing w:before="0" w:after="200"/>
              <w:rPr>
                <w:sz w:val="20"/>
                <w:szCs w:val="20"/>
              </w:rPr>
            </w:pPr>
            <w:r>
              <w:rPr>
                <w:b w:val="false"/>
                <w:sz w:val="20"/>
                <w:szCs w:val="20"/>
              </w:rPr>
              <w:t>Circular-feed positioning</w:t>
            </w:r>
          </w:p>
        </w:tc>
        <w:tc>
          <w:tcPr>
            <w:tcW w:w="3389" w:type="dxa"/>
            <w:tcBorders/>
            <w:vAlign w:val="center"/>
          </w:tcPr>
          <w:p>
            <w:pPr>
              <w:pStyle w:val="Normal"/>
              <w:spacing w:before="0" w:after="200"/>
              <w:rPr>
                <w:sz w:val="20"/>
                <w:szCs w:val="20"/>
              </w:rPr>
            </w:pPr>
            <w:r>
              <w:rPr>
                <w:b w:val="false"/>
                <w:sz w:val="20"/>
                <w:szCs w:val="20"/>
              </w:rPr>
              <w:t>EFFPA – Circular and Low Carbon Footprint Feed</w:t>
            </w:r>
          </w:p>
        </w:tc>
        <w:tc>
          <w:tcPr>
            <w:tcW w:w="3389" w:type="dxa"/>
            <w:tcBorders/>
            <w:vAlign w:val="center"/>
          </w:tcPr>
          <w:p>
            <w:pPr>
              <w:pStyle w:val="Normal"/>
              <w:spacing w:before="0" w:after="200"/>
              <w:rPr>
                <w:sz w:val="20"/>
                <w:szCs w:val="20"/>
              </w:rPr>
            </w:pPr>
            <w:r>
              <w:rPr>
                <w:b w:val="false"/>
                <w:sz w:val="20"/>
                <w:szCs w:val="20"/>
              </w:rPr>
              <w:t>https://effpa.eu/our-focuses/circular-and-low-carbon-footprint-feed/</w:t>
            </w:r>
          </w:p>
        </w:tc>
      </w:tr>
      <w:tr>
        <w:trPr/>
        <w:tc>
          <w:tcPr>
            <w:tcW w:w="3389" w:type="dxa"/>
            <w:tcBorders/>
            <w:vAlign w:val="center"/>
          </w:tcPr>
          <w:p>
            <w:pPr>
              <w:pStyle w:val="Normal"/>
              <w:spacing w:before="0" w:after="200"/>
              <w:rPr>
                <w:sz w:val="20"/>
                <w:szCs w:val="20"/>
              </w:rPr>
            </w:pPr>
            <w:r>
              <w:rPr>
                <w:b w:val="false"/>
                <w:sz w:val="20"/>
                <w:szCs w:val="20"/>
              </w:rPr>
              <w:t>Feed safety / traceability benchmark</w:t>
            </w:r>
          </w:p>
        </w:tc>
        <w:tc>
          <w:tcPr>
            <w:tcW w:w="3389" w:type="dxa"/>
            <w:tcBorders/>
            <w:vAlign w:val="center"/>
          </w:tcPr>
          <w:p>
            <w:pPr>
              <w:pStyle w:val="Normal"/>
              <w:spacing w:before="0" w:after="200"/>
              <w:rPr>
                <w:sz w:val="20"/>
                <w:szCs w:val="20"/>
              </w:rPr>
            </w:pPr>
            <w:r>
              <w:rPr>
                <w:b w:val="false"/>
                <w:sz w:val="20"/>
                <w:szCs w:val="20"/>
              </w:rPr>
              <w:t>EFFPA – Feed Safety</w:t>
            </w:r>
          </w:p>
        </w:tc>
        <w:tc>
          <w:tcPr>
            <w:tcW w:w="3389" w:type="dxa"/>
            <w:tcBorders/>
            <w:vAlign w:val="center"/>
          </w:tcPr>
          <w:p>
            <w:pPr>
              <w:pStyle w:val="Normal"/>
              <w:spacing w:before="0" w:after="200"/>
              <w:rPr>
                <w:sz w:val="20"/>
                <w:szCs w:val="20"/>
              </w:rPr>
            </w:pPr>
            <w:r>
              <w:rPr>
                <w:b w:val="false"/>
                <w:sz w:val="20"/>
                <w:szCs w:val="20"/>
              </w:rPr>
              <w:t>https://effpa.eu/our-focuses/feed-safety/</w:t>
            </w:r>
          </w:p>
        </w:tc>
      </w:tr>
      <w:tr>
        <w:trPr/>
        <w:tc>
          <w:tcPr>
            <w:tcW w:w="3389" w:type="dxa"/>
            <w:tcBorders/>
            <w:vAlign w:val="center"/>
          </w:tcPr>
          <w:p>
            <w:pPr>
              <w:pStyle w:val="Normal"/>
              <w:spacing w:before="0" w:after="200"/>
              <w:rPr>
                <w:sz w:val="20"/>
                <w:szCs w:val="20"/>
              </w:rPr>
            </w:pPr>
            <w:r>
              <w:rPr>
                <w:b w:val="false"/>
                <w:sz w:val="20"/>
                <w:szCs w:val="20"/>
              </w:rPr>
              <w:t>Vietnam feed ingredient price benchmark, Jul-2026</w:t>
            </w:r>
          </w:p>
        </w:tc>
        <w:tc>
          <w:tcPr>
            <w:tcW w:w="3389" w:type="dxa"/>
            <w:tcBorders/>
            <w:vAlign w:val="center"/>
          </w:tcPr>
          <w:p>
            <w:pPr>
              <w:pStyle w:val="Normal"/>
              <w:spacing w:before="0" w:after="200"/>
              <w:rPr>
                <w:sz w:val="20"/>
                <w:szCs w:val="20"/>
              </w:rPr>
            </w:pPr>
            <w:r>
              <w:rPr>
                <w:b w:val="false"/>
                <w:sz w:val="20"/>
                <w:szCs w:val="20"/>
              </w:rPr>
              <w:t>H-IMEX – Vietnam Animal Feed Market Analysis, 29 Jul 2026</w:t>
            </w:r>
          </w:p>
        </w:tc>
        <w:tc>
          <w:tcPr>
            <w:tcW w:w="3389" w:type="dxa"/>
            <w:tcBorders/>
            <w:vAlign w:val="center"/>
          </w:tcPr>
          <w:p>
            <w:pPr>
              <w:pStyle w:val="Normal"/>
              <w:spacing w:before="0" w:after="200"/>
              <w:rPr>
                <w:sz w:val="20"/>
                <w:szCs w:val="20"/>
              </w:rPr>
            </w:pPr>
            <w:r>
              <w:rPr>
                <w:b w:val="false"/>
                <w:sz w:val="20"/>
                <w:szCs w:val="20"/>
              </w:rPr>
              <w:t>https://h-imex.com/news/vietnam-animal-feed-market-analysis-july-29-2026-abundant-import-supply-vs-local-byproduct-adjustments</w:t>
            </w:r>
          </w:p>
        </w:tc>
      </w:tr>
      <w:tr>
        <w:trPr/>
        <w:tc>
          <w:tcPr>
            <w:tcW w:w="3389" w:type="dxa"/>
            <w:tcBorders/>
            <w:vAlign w:val="center"/>
          </w:tcPr>
          <w:p>
            <w:pPr>
              <w:pStyle w:val="Normal"/>
              <w:spacing w:before="0" w:after="200"/>
              <w:rPr>
                <w:sz w:val="20"/>
                <w:szCs w:val="20"/>
              </w:rPr>
            </w:pPr>
            <w:r>
              <w:rPr>
                <w:b w:val="false"/>
                <w:sz w:val="20"/>
                <w:szCs w:val="20"/>
              </w:rPr>
              <w:t>Vietnam DDGS/rice bran benchmark, Jul-2026</w:t>
            </w:r>
          </w:p>
        </w:tc>
        <w:tc>
          <w:tcPr>
            <w:tcW w:w="3389" w:type="dxa"/>
            <w:tcBorders/>
            <w:vAlign w:val="center"/>
          </w:tcPr>
          <w:p>
            <w:pPr>
              <w:pStyle w:val="Normal"/>
              <w:spacing w:before="0" w:after="200"/>
              <w:rPr>
                <w:sz w:val="20"/>
                <w:szCs w:val="20"/>
              </w:rPr>
            </w:pPr>
            <w:r>
              <w:rPr>
                <w:b w:val="false"/>
                <w:sz w:val="20"/>
                <w:szCs w:val="20"/>
              </w:rPr>
              <w:t>H-IMEX – Vietnam Animal Feed Market Update, 2 Jul 2026</w:t>
            </w:r>
          </w:p>
        </w:tc>
        <w:tc>
          <w:tcPr>
            <w:tcW w:w="3389" w:type="dxa"/>
            <w:tcBorders/>
            <w:vAlign w:val="center"/>
          </w:tcPr>
          <w:p>
            <w:pPr>
              <w:pStyle w:val="Normal"/>
              <w:spacing w:before="0" w:after="200"/>
              <w:rPr>
                <w:sz w:val="20"/>
                <w:szCs w:val="20"/>
              </w:rPr>
            </w:pPr>
            <w:r>
              <w:rPr>
                <w:b w:val="false"/>
                <w:sz w:val="20"/>
                <w:szCs w:val="20"/>
              </w:rPr>
              <w:t>https://h-imex.com/news/vietnam-animal-feed-market-update-on-july-2-2026-corn-mixed-soybean-meal-edges-higher-rice-ingredients-rise</w:t>
            </w:r>
          </w:p>
        </w:tc>
      </w:tr>
      <w:tr>
        <w:trPr/>
        <w:tc>
          <w:tcPr>
            <w:tcW w:w="3389" w:type="dxa"/>
            <w:tcBorders/>
            <w:vAlign w:val="center"/>
          </w:tcPr>
          <w:p>
            <w:pPr>
              <w:pStyle w:val="Normal"/>
              <w:spacing w:before="0" w:after="200"/>
              <w:rPr>
                <w:sz w:val="20"/>
                <w:szCs w:val="20"/>
              </w:rPr>
            </w:pPr>
            <w:r>
              <w:rPr>
                <w:b w:val="false"/>
                <w:sz w:val="20"/>
                <w:szCs w:val="20"/>
              </w:rPr>
              <w:t>Industrial electricity tariff benchmark</w:t>
            </w:r>
          </w:p>
        </w:tc>
        <w:tc>
          <w:tcPr>
            <w:tcW w:w="3389" w:type="dxa"/>
            <w:tcBorders/>
            <w:vAlign w:val="center"/>
          </w:tcPr>
          <w:p>
            <w:pPr>
              <w:pStyle w:val="Normal"/>
              <w:spacing w:before="0" w:after="200"/>
              <w:rPr>
                <w:sz w:val="20"/>
                <w:szCs w:val="20"/>
              </w:rPr>
            </w:pPr>
            <w:r>
              <w:rPr>
                <w:b w:val="false"/>
                <w:sz w:val="20"/>
                <w:szCs w:val="20"/>
              </w:rPr>
              <w:t>EVN – Retail Electricity Tariff, Decision 1279/QD-BCT dated 9 May 2025</w:t>
            </w:r>
          </w:p>
        </w:tc>
        <w:tc>
          <w:tcPr>
            <w:tcW w:w="3389" w:type="dxa"/>
            <w:tcBorders/>
            <w:vAlign w:val="center"/>
          </w:tcPr>
          <w:p>
            <w:pPr>
              <w:pStyle w:val="Normal"/>
              <w:spacing w:before="0" w:after="200"/>
              <w:rPr>
                <w:sz w:val="20"/>
                <w:szCs w:val="20"/>
              </w:rPr>
            </w:pPr>
            <w:r>
              <w:rPr>
                <w:b w:val="false"/>
                <w:sz w:val="20"/>
                <w:szCs w:val="20"/>
              </w:rPr>
              <w:t>https://en.evn.com.vn/d/en-US/news/RETAIL-ELECTRICITY-TARIFF-Decision-No-2699QD-BCT-dated-11-October-2024-60-28-252</w:t>
            </w:r>
          </w:p>
        </w:tc>
      </w:tr>
    </w:tbl>
    <w:p>
      <w:pPr>
        <w:pStyle w:val="Normal"/>
        <w:rPr>
          <w:b/>
        </w:rPr>
      </w:pPr>
      <w:r>
        <w:rPr>
          <w:b/>
        </w:rPr>
      </w:r>
    </w:p>
    <w:p>
      <w:pPr>
        <w:pStyle w:val="Normal"/>
        <w:spacing w:before="0" w:after="200"/>
        <w:rPr>
          <w:sz w:val="20"/>
          <w:szCs w:val="20"/>
        </w:rPr>
      </w:pPr>
      <w:r>
        <w:rPr>
          <w:b/>
          <w:sz w:val="20"/>
          <w:szCs w:val="20"/>
        </w:rPr>
        <w:t xml:space="preserve">Important: </w:t>
      </w:r>
      <w:r>
        <w:rPr>
          <w:sz w:val="20"/>
          <w:szCs w:val="20"/>
        </w:rPr>
        <w:t>all project-specific yields, prices, CAPEX, OPEX, IRR and capacity figures in this Executive Summary are development assumptions for investor evaluation. They must be validated through feedstock contracts, laboratory characterization, pilot trials, vendor quotations, permitting review and customer offtake before financial close.</w:t>
      </w:r>
    </w:p>
    <w:sectPr>
      <w:footerReference w:type="even" r:id="rId2"/>
      <w:footerReference w:type="default" r:id="rId3"/>
      <w:footerReference w:type="first" r:id="rId4"/>
      <w:type w:val="nextPage"/>
      <w:pgSz w:w="12240" w:h="15840"/>
      <w:pgMar w:left="1037" w:right="403" w:gutter="0" w:header="0" w:top="936" w:footer="720" w:bottom="93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Aptos">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 w:name="Liberation Sans">
    <w:altName w:val="Arial"/>
    <w:charset w:val="00" w:characterSet="windows-1252"/>
    <w:family w:val="swiss"/>
    <w:pitch w:val="variable"/>
  </w:font>
  <w:font w:name="Aptos Display">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color w:val="6E6E6E"/>
        <w:sz w:val="15"/>
      </w:rPr>
      <w:t>Circular Bio-Resource &amp; Sustainable Feed Complex | Confidential – Investor Discussion Draft</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color w:val="6E6E6E"/>
        <w:sz w:val="15"/>
      </w:rPr>
      <w:t>Circular Bio-Resource &amp; Sustainable Feed Complex | Confidential – Investor Discussion Draft</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bidi w:val="0"/>
      <w:spacing w:lineRule="auto" w:line="276" w:before="0" w:after="200"/>
      <w:jc w:val="start"/>
    </w:pPr>
    <w:rPr>
      <w:rFonts w:ascii="Aptos" w:hAnsi="Aptos" w:eastAsia="ＭＳ 明朝" w:cs="" w:cstheme="minorBidi" w:eastAsiaTheme="minorEastAsia"/>
      <w:color w:val="auto"/>
      <w:kern w:val="0"/>
      <w:sz w:val="19"/>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ＭＳ ゴシック" w:cs="" w:asciiTheme="majorHAnsi" w:cstheme="majorBidi" w:eastAsiaTheme="majorEastAsia" w:hAnsiTheme="majorHAnsi"/>
      <w:b/>
      <w:bCs/>
      <w:color w:val="194137"/>
      <w:sz w:val="34"/>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ＭＳ ゴシック" w:cs="" w:asciiTheme="majorHAnsi" w:cstheme="majorBidi" w:eastAsiaTheme="majorEastAsia" w:hAnsiTheme="majorHAnsi"/>
      <w:b/>
      <w:bCs/>
      <w:color w:val="3E5C4C"/>
      <w:sz w:val="24"/>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ＭＳ ゴシック"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ＭＳ ゴシック"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ＭＳ ゴシック"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ＭＳ ゴシック"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ＭＳ ゴシック"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ＭＳ ゴシック"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ＭＳ ゴシック"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ＭＳ ゴシック"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20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ＭＳ ゴシック" w:cs="" w:asciiTheme="majorHAnsi" w:cstheme="majorBidi" w:eastAsiaTheme="majorEastAsia" w:hAnsiTheme="majorHAnsi"/>
      <w:b/>
      <w:color w:themeColor="text2" w:themeShade="bf" w:val="17365D"/>
      <w:spacing w:val="5"/>
      <w:kern w:val="2"/>
      <w:sz w:val="54"/>
      <w:szCs w:val="52"/>
    </w:rPr>
  </w:style>
  <w:style w:type="paragraph" w:styleId="Subtitle">
    <w:name w:val="Subtitle"/>
    <w:basedOn w:val="Normal"/>
    <w:next w:val="Normal"/>
    <w:link w:val="SubtitleChar"/>
    <w:uiPriority w:val="11"/>
    <w:qFormat/>
    <w:rsid w:val="00fc693f"/>
    <w:pPr/>
    <w:rPr>
      <w:rFonts w:ascii="Calibri" w:hAnsi="Calibri" w:eastAsia="ＭＳ ゴシック"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200"/>
      <w:ind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200"/>
      <w:ind w:hanging="360" w:start="720"/>
      <w:contextualSpacing/>
    </w:pPr>
    <w:rPr/>
  </w:style>
  <w:style w:type="paragraph" w:styleId="List3">
    <w:name w:val="List 3"/>
    <w:basedOn w:val="Normal"/>
    <w:uiPriority w:val="99"/>
    <w:unhideWhenUsed/>
    <w:qFormat/>
    <w:rsid w:val="00326f90"/>
    <w:pPr>
      <w:spacing w:before="0" w:after="200"/>
      <w:ind w:hanging="360" w:start="1080"/>
      <w:contextualSpacing/>
    </w:pPr>
    <w:rPr/>
  </w:style>
  <w:style w:type="paragraph" w:styleId="ListBullet">
    <w:name w:val="List Bullet"/>
    <w:basedOn w:val="Normal"/>
    <w:uiPriority w:val="99"/>
    <w:unhideWhenUsed/>
    <w:rsid w:val="00326f90"/>
    <w:pPr>
      <w:numPr>
        <w:ilvl w:val="0"/>
        <w:numId w:val="1"/>
      </w:numPr>
      <w:spacing w:before="0" w:after="200"/>
      <w:contextualSpacing/>
    </w:pPr>
    <w:rPr/>
  </w:style>
  <w:style w:type="paragraph" w:styleId="ListBullet2">
    <w:name w:val="List Bullet 2"/>
    <w:basedOn w:val="Normal"/>
    <w:uiPriority w:val="99"/>
    <w:unhideWhenUsed/>
    <w:rsid w:val="00326f90"/>
    <w:pPr>
      <w:numPr>
        <w:ilvl w:val="0"/>
        <w:numId w:val="2"/>
      </w:numPr>
      <w:spacing w:before="0" w:after="200"/>
      <w:contextualSpacing/>
    </w:pPr>
    <w:rPr/>
  </w:style>
  <w:style w:type="paragraph" w:styleId="ListBullet3">
    <w:name w:val="List Bullet 3"/>
    <w:basedOn w:val="Normal"/>
    <w:uiPriority w:val="99"/>
    <w:unhideWhenUsed/>
    <w:rsid w:val="00326f90"/>
    <w:pPr>
      <w:numPr>
        <w:ilvl w:val="0"/>
        <w:numId w:val="3"/>
      </w:numPr>
      <w:spacing w:before="0" w:after="200"/>
      <w:contextualSpacing/>
    </w:pPr>
    <w:rPr/>
  </w:style>
  <w:style w:type="paragraph" w:styleId="ListNumber">
    <w:name w:val="List Number"/>
    <w:basedOn w:val="Normal"/>
    <w:uiPriority w:val="99"/>
    <w:unhideWhenUsed/>
    <w:rsid w:val="00326f90"/>
    <w:pPr>
      <w:numPr>
        <w:ilvl w:val="0"/>
        <w:numId w:val="4"/>
      </w:numPr>
      <w:spacing w:before="0" w:after="200"/>
      <w:contextualSpacing/>
    </w:pPr>
    <w:rPr/>
  </w:style>
  <w:style w:type="paragraph" w:styleId="ListNumber2">
    <w:name w:val="List Number 2"/>
    <w:basedOn w:val="Normal"/>
    <w:uiPriority w:val="99"/>
    <w:unhideWhenUsed/>
    <w:rsid w:val="0029639d"/>
    <w:pPr>
      <w:numPr>
        <w:ilvl w:val="0"/>
        <w:numId w:val="5"/>
      </w:numPr>
      <w:spacing w:before="0" w:after="200"/>
      <w:contextualSpacing/>
    </w:pPr>
    <w:rPr/>
  </w:style>
  <w:style w:type="paragraph" w:styleId="ListNumber3">
    <w:name w:val="List Number 3"/>
    <w:basedOn w:val="Normal"/>
    <w:uiPriority w:val="99"/>
    <w:unhideWhenUsed/>
    <w:rsid w:val="0029639d"/>
    <w:pPr>
      <w:numPr>
        <w:ilvl w:val="0"/>
        <w:numId w:val="6"/>
      </w:numPr>
      <w:spacing w:before="0" w:after="20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jc w:val="star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start="936" w:end="936"/>
    </w:pPr>
    <w:rPr>
      <w:b/>
      <w:bCs/>
      <w:i/>
      <w:iCs/>
      <w:color w:themeColor="accent1" w:val="4F81BD"/>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fc693f"/>
    <w:pPr>
      <w:outlineLvl w:val="9"/>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LibreOffice/26.2.6.3$Windows_X86_64 LibreOffice_project/8221e31b3ac356a1623c672912a3d2b492f7e3d1</Application>
  <AppVersion>15.0000</AppVersion>
  <Pages>6</Pages>
  <Words>1136</Words>
  <Characters>8027</Characters>
  <CharactersWithSpaces>8934</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2026-09-29T19:35:42Z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